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A445" w14:textId="77777777" w:rsidR="00BA4CE5" w:rsidRPr="00340EAF" w:rsidRDefault="00BA4CE5" w:rsidP="00340EAF">
      <w:pPr>
        <w:jc w:val="center"/>
        <w:rPr>
          <w:b/>
          <w:szCs w:val="24"/>
        </w:rPr>
      </w:pPr>
      <w:r w:rsidRPr="00340EAF">
        <w:rPr>
          <w:b/>
          <w:szCs w:val="24"/>
        </w:rPr>
        <w:t>THE UNITED REPUBLIC OF TANZANIA</w:t>
      </w:r>
    </w:p>
    <w:p w14:paraId="259FB420" w14:textId="77777777" w:rsidR="00BA4CE5" w:rsidRPr="00340EAF" w:rsidRDefault="00BA4CE5" w:rsidP="00340EAF">
      <w:pPr>
        <w:rPr>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340EAF" w14:paraId="32B87508" w14:textId="77777777" w:rsidTr="009E3A75">
        <w:trPr>
          <w:trHeight w:val="339"/>
        </w:trPr>
        <w:tc>
          <w:tcPr>
            <w:tcW w:w="1946" w:type="dxa"/>
            <w:shd w:val="clear" w:color="auto" w:fill="auto"/>
          </w:tcPr>
          <w:p w14:paraId="7ACDE6EB" w14:textId="77777777" w:rsidR="00BA4CE5" w:rsidRPr="00340EAF" w:rsidRDefault="00BA4CE5" w:rsidP="00340EAF">
            <w:pPr>
              <w:rPr>
                <w:szCs w:val="24"/>
              </w:rPr>
            </w:pPr>
            <w:r w:rsidRPr="00340EAF">
              <w:rPr>
                <w:noProof/>
                <w:szCs w:val="24"/>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340EAF" w:rsidRDefault="00BA4CE5" w:rsidP="00340EAF">
            <w:pPr>
              <w:jc w:val="center"/>
              <w:rPr>
                <w:szCs w:val="24"/>
              </w:rPr>
            </w:pPr>
            <w:r w:rsidRPr="00340EAF">
              <w:rPr>
                <w:szCs w:val="24"/>
              </w:rPr>
              <w:t>MINISTRY OF HEALTH</w:t>
            </w:r>
          </w:p>
          <w:p w14:paraId="2C9326CA" w14:textId="77777777" w:rsidR="00BA4CE5" w:rsidRPr="00340EAF" w:rsidRDefault="00BA4CE5" w:rsidP="00340EAF">
            <w:pPr>
              <w:jc w:val="center"/>
              <w:rPr>
                <w:b/>
                <w:szCs w:val="24"/>
              </w:rPr>
            </w:pPr>
          </w:p>
          <w:p w14:paraId="2443D552" w14:textId="77777777" w:rsidR="00BA4CE5" w:rsidRPr="00340EAF" w:rsidRDefault="00BA4CE5" w:rsidP="00340EAF">
            <w:pPr>
              <w:jc w:val="center"/>
              <w:rPr>
                <w:b/>
                <w:szCs w:val="24"/>
              </w:rPr>
            </w:pPr>
            <w:r w:rsidRPr="00340EAF">
              <w:rPr>
                <w:b/>
                <w:szCs w:val="24"/>
              </w:rPr>
              <w:t>MUHIMBILI NATIONAL HOSPITAL</w:t>
            </w:r>
          </w:p>
          <w:p w14:paraId="595B7EA2" w14:textId="77777777" w:rsidR="00BA4CE5" w:rsidRPr="00340EAF" w:rsidRDefault="00BA4CE5" w:rsidP="00340EAF">
            <w:pPr>
              <w:jc w:val="center"/>
              <w:rPr>
                <w:b/>
                <w:szCs w:val="24"/>
              </w:rPr>
            </w:pPr>
            <w:r w:rsidRPr="00340EAF">
              <w:rPr>
                <w:b/>
                <w:szCs w:val="24"/>
              </w:rPr>
              <w:t>MLOGANZILA</w:t>
            </w:r>
          </w:p>
        </w:tc>
        <w:tc>
          <w:tcPr>
            <w:tcW w:w="2042" w:type="dxa"/>
            <w:shd w:val="clear" w:color="auto" w:fill="auto"/>
          </w:tcPr>
          <w:p w14:paraId="2615F082" w14:textId="77777777" w:rsidR="00BA4CE5" w:rsidRPr="00340EAF" w:rsidRDefault="00BA4CE5" w:rsidP="00340EAF">
            <w:pPr>
              <w:jc w:val="right"/>
              <w:rPr>
                <w:szCs w:val="24"/>
              </w:rPr>
            </w:pPr>
            <w:r w:rsidRPr="00340EAF">
              <w:rPr>
                <w:noProof/>
                <w:szCs w:val="24"/>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340EAF" w14:paraId="7EAEBF9C" w14:textId="77777777" w:rsidTr="009E3A75">
        <w:trPr>
          <w:trHeight w:val="339"/>
        </w:trPr>
        <w:tc>
          <w:tcPr>
            <w:tcW w:w="1946" w:type="dxa"/>
            <w:shd w:val="clear" w:color="auto" w:fill="auto"/>
          </w:tcPr>
          <w:p w14:paraId="696E8A85" w14:textId="77777777" w:rsidR="00BA4CE5" w:rsidRPr="00340EAF" w:rsidRDefault="00BA4CE5" w:rsidP="00340EAF">
            <w:pPr>
              <w:rPr>
                <w:noProof/>
                <w:szCs w:val="24"/>
              </w:rPr>
            </w:pPr>
          </w:p>
        </w:tc>
        <w:tc>
          <w:tcPr>
            <w:tcW w:w="4975" w:type="dxa"/>
            <w:shd w:val="clear" w:color="auto" w:fill="auto"/>
          </w:tcPr>
          <w:p w14:paraId="50C50F9E" w14:textId="77777777" w:rsidR="00BA4CE5" w:rsidRPr="00340EAF" w:rsidRDefault="00BA4CE5" w:rsidP="00340EAF">
            <w:pPr>
              <w:jc w:val="center"/>
              <w:rPr>
                <w:szCs w:val="24"/>
              </w:rPr>
            </w:pPr>
          </w:p>
        </w:tc>
        <w:tc>
          <w:tcPr>
            <w:tcW w:w="2042" w:type="dxa"/>
            <w:shd w:val="clear" w:color="auto" w:fill="auto"/>
          </w:tcPr>
          <w:p w14:paraId="32F5118B" w14:textId="77777777" w:rsidR="00BA4CE5" w:rsidRPr="00340EAF" w:rsidRDefault="00BA4CE5" w:rsidP="00340EAF">
            <w:pPr>
              <w:jc w:val="right"/>
              <w:rPr>
                <w:noProof/>
                <w:szCs w:val="24"/>
              </w:rPr>
            </w:pPr>
          </w:p>
        </w:tc>
      </w:tr>
    </w:tbl>
    <w:p w14:paraId="29904123" w14:textId="77777777" w:rsidR="00BC007A" w:rsidRPr="00340EAF" w:rsidRDefault="00BC007A" w:rsidP="00340EAF">
      <w:pPr>
        <w:jc w:val="both"/>
        <w:rPr>
          <w:rFonts w:eastAsiaTheme="minorHAnsi"/>
          <w:b/>
          <w:bCs/>
          <w:color w:val="000000"/>
          <w:szCs w:val="24"/>
        </w:rPr>
      </w:pPr>
    </w:p>
    <w:p w14:paraId="222D08B0" w14:textId="77777777" w:rsidR="00FF5D31" w:rsidRPr="00FF5D31" w:rsidRDefault="00FF5D31" w:rsidP="00FF5D31">
      <w:pPr>
        <w:shd w:val="clear" w:color="auto" w:fill="FFFFFF"/>
        <w:spacing w:before="100" w:beforeAutospacing="1" w:after="100" w:afterAutospacing="1"/>
        <w:jc w:val="both"/>
        <w:rPr>
          <w:b/>
          <w:bCs/>
          <w:sz w:val="28"/>
          <w:szCs w:val="28"/>
        </w:rPr>
      </w:pPr>
      <w:r w:rsidRPr="00FF5D31">
        <w:rPr>
          <w:b/>
          <w:bCs/>
          <w:sz w:val="28"/>
          <w:szCs w:val="28"/>
        </w:rPr>
        <w:t>The distribution of reproductive risk factors disclosed the heterogeneity of receptor-defined breast cancer subtypes among Tanzanian women</w:t>
      </w:r>
    </w:p>
    <w:p w14:paraId="225D6496" w14:textId="03FB32A3" w:rsidR="00FF5D31" w:rsidRPr="00FF5D31" w:rsidRDefault="00FF5D31" w:rsidP="00FF5D31">
      <w:pPr>
        <w:shd w:val="clear" w:color="auto" w:fill="FFFFFF"/>
        <w:spacing w:before="100" w:beforeAutospacing="1" w:after="100" w:afterAutospacing="1"/>
        <w:rPr>
          <w:szCs w:val="24"/>
        </w:rPr>
      </w:pPr>
      <w:r w:rsidRPr="00FF5D31">
        <w:rPr>
          <w:szCs w:val="24"/>
        </w:rPr>
        <w:t xml:space="preserve">Linus P. Rweyemamu, </w:t>
      </w:r>
      <w:proofErr w:type="spellStart"/>
      <w:r w:rsidRPr="00FF5D31">
        <w:rPr>
          <w:szCs w:val="24"/>
        </w:rPr>
        <w:t>Gokce</w:t>
      </w:r>
      <w:proofErr w:type="spellEnd"/>
      <w:r w:rsidRPr="00FF5D31">
        <w:rPr>
          <w:szCs w:val="24"/>
        </w:rPr>
        <w:t xml:space="preserve"> Akan, Ismael C. Adolf, Erick P. </w:t>
      </w:r>
      <w:proofErr w:type="spellStart"/>
      <w:r w:rsidRPr="00FF5D31">
        <w:rPr>
          <w:szCs w:val="24"/>
        </w:rPr>
        <w:t>Magorosa</w:t>
      </w:r>
      <w:proofErr w:type="spellEnd"/>
      <w:r w:rsidRPr="00FF5D31">
        <w:rPr>
          <w:szCs w:val="24"/>
        </w:rPr>
        <w:t xml:space="preserve">, Innocent J. Mosha, Nazima </w:t>
      </w:r>
      <w:proofErr w:type="spellStart"/>
      <w:r w:rsidRPr="00FF5D31">
        <w:rPr>
          <w:szCs w:val="24"/>
        </w:rPr>
        <w:t>Dharsee</w:t>
      </w:r>
      <w:proofErr w:type="spellEnd"/>
      <w:r w:rsidRPr="00FF5D31">
        <w:rPr>
          <w:szCs w:val="24"/>
        </w:rPr>
        <w:t xml:space="preserve">, Lucy A. </w:t>
      </w:r>
      <w:proofErr w:type="spellStart"/>
      <w:r w:rsidRPr="00FF5D31">
        <w:rPr>
          <w:szCs w:val="24"/>
        </w:rPr>
        <w:t>Namkinga</w:t>
      </w:r>
      <w:proofErr w:type="spellEnd"/>
      <w:r w:rsidRPr="00FF5D31">
        <w:rPr>
          <w:szCs w:val="24"/>
        </w:rPr>
        <w:t xml:space="preserve">, Sylvester L. </w:t>
      </w:r>
      <w:proofErr w:type="spellStart"/>
      <w:r w:rsidRPr="00FF5D31">
        <w:rPr>
          <w:szCs w:val="24"/>
        </w:rPr>
        <w:t>Lyantagaye</w:t>
      </w:r>
      <w:proofErr w:type="spellEnd"/>
      <w:r w:rsidRPr="00FF5D31">
        <w:rPr>
          <w:szCs w:val="24"/>
        </w:rPr>
        <w:t xml:space="preserve">, </w:t>
      </w:r>
      <w:proofErr w:type="spellStart"/>
      <w:r w:rsidRPr="00FF5D31">
        <w:rPr>
          <w:szCs w:val="24"/>
        </w:rPr>
        <w:t>Abdolrahman</w:t>
      </w:r>
      <w:proofErr w:type="spellEnd"/>
      <w:r w:rsidRPr="00FF5D31">
        <w:rPr>
          <w:szCs w:val="24"/>
        </w:rPr>
        <w:t xml:space="preserve"> S. </w:t>
      </w:r>
      <w:proofErr w:type="spellStart"/>
      <w:r w:rsidRPr="00FF5D31">
        <w:rPr>
          <w:szCs w:val="24"/>
        </w:rPr>
        <w:t>Nateri</w:t>
      </w:r>
      <w:proofErr w:type="spellEnd"/>
      <w:r w:rsidRPr="00FF5D31">
        <w:rPr>
          <w:szCs w:val="24"/>
        </w:rPr>
        <w:t xml:space="preserve"> &amp; </w:t>
      </w:r>
      <w:proofErr w:type="spellStart"/>
      <w:r w:rsidRPr="00FF5D31">
        <w:rPr>
          <w:szCs w:val="24"/>
        </w:rPr>
        <w:t>Fatmahan</w:t>
      </w:r>
      <w:proofErr w:type="spellEnd"/>
      <w:r w:rsidRPr="00FF5D31">
        <w:rPr>
          <w:szCs w:val="24"/>
        </w:rPr>
        <w:t xml:space="preserve"> </w:t>
      </w:r>
      <w:proofErr w:type="spellStart"/>
      <w:r w:rsidRPr="00FF5D31">
        <w:rPr>
          <w:szCs w:val="24"/>
        </w:rPr>
        <w:t>Atalar</w:t>
      </w:r>
      <w:proofErr w:type="spellEnd"/>
    </w:p>
    <w:p w14:paraId="1276505D" w14:textId="1F0E55B8" w:rsidR="00FB673F" w:rsidRPr="00340EAF" w:rsidRDefault="00FB673F" w:rsidP="00340EAF">
      <w:pPr>
        <w:jc w:val="both"/>
        <w:rPr>
          <w:b/>
          <w:bCs/>
          <w:szCs w:val="24"/>
        </w:rPr>
      </w:pPr>
      <w:r w:rsidRPr="00340EAF">
        <w:rPr>
          <w:b/>
          <w:bCs/>
          <w:szCs w:val="24"/>
        </w:rPr>
        <w:t>Abstract</w:t>
      </w:r>
    </w:p>
    <w:p w14:paraId="31E7EF01" w14:textId="77777777" w:rsidR="003B2171" w:rsidRPr="003B2171" w:rsidRDefault="003B2171" w:rsidP="003B2171">
      <w:pPr>
        <w:jc w:val="both"/>
        <w:rPr>
          <w:szCs w:val="24"/>
        </w:rPr>
      </w:pPr>
      <w:r w:rsidRPr="003B2171">
        <w:rPr>
          <w:szCs w:val="24"/>
        </w:rPr>
        <w:t>Background</w:t>
      </w:r>
    </w:p>
    <w:p w14:paraId="29C8CFF2" w14:textId="77777777" w:rsidR="003B2171" w:rsidRPr="003B2171" w:rsidRDefault="003B2171" w:rsidP="003B2171">
      <w:pPr>
        <w:jc w:val="both"/>
        <w:rPr>
          <w:szCs w:val="24"/>
        </w:rPr>
      </w:pPr>
      <w:r w:rsidRPr="003B2171">
        <w:rPr>
          <w:szCs w:val="24"/>
        </w:rPr>
        <w:t>Recent epidemiological studies suggest that reproductive factors are associated with breast cancer (BC) molecular subtypes. However, these associations have not been thoroughly studied in the African populations. The present study aimed to investigate the prevalence of BC molecular subtypes and assess their association with reproductive factors in Tanzanian BC patients.</w:t>
      </w:r>
    </w:p>
    <w:p w14:paraId="17DE3931" w14:textId="77777777" w:rsidR="003B2171" w:rsidRPr="003B2171" w:rsidRDefault="003B2171" w:rsidP="003B2171">
      <w:pPr>
        <w:jc w:val="both"/>
        <w:rPr>
          <w:szCs w:val="24"/>
        </w:rPr>
      </w:pPr>
      <w:r w:rsidRPr="003B2171">
        <w:rPr>
          <w:szCs w:val="24"/>
        </w:rPr>
        <w:t>Methods</w:t>
      </w:r>
    </w:p>
    <w:p w14:paraId="4344C675" w14:textId="77777777" w:rsidR="003B2171" w:rsidRPr="003B2171" w:rsidRDefault="003B2171" w:rsidP="003B2171">
      <w:pPr>
        <w:jc w:val="both"/>
        <w:rPr>
          <w:szCs w:val="24"/>
        </w:rPr>
      </w:pPr>
      <w:r w:rsidRPr="003B2171">
        <w:rPr>
          <w:szCs w:val="24"/>
        </w:rPr>
        <w:t xml:space="preserve">This hospital-based case-only cross-sectional study consisted of 263 histologically confirmed BC patients in Tanzania. </w:t>
      </w:r>
      <w:proofErr w:type="spellStart"/>
      <w:r w:rsidRPr="003B2171">
        <w:rPr>
          <w:szCs w:val="24"/>
        </w:rPr>
        <w:t>Clinico</w:t>
      </w:r>
      <w:proofErr w:type="spellEnd"/>
      <w:r w:rsidRPr="003B2171">
        <w:rPr>
          <w:szCs w:val="24"/>
        </w:rPr>
        <w:t>-pathological data, socio-demographic characteristics, anthropometric measurements, and reproductive risk factors were examined using the Chi-square test and one-way ANOVA. The association among reproductive factors and BC molecular subtypes was analyzed using multinomial logistic regression. The heterogeneity of the associations was assessed using the Wald test.</w:t>
      </w:r>
    </w:p>
    <w:p w14:paraId="407E5ACC" w14:textId="77777777" w:rsidR="003B2171" w:rsidRPr="003B2171" w:rsidRDefault="003B2171" w:rsidP="003B2171">
      <w:pPr>
        <w:jc w:val="both"/>
        <w:rPr>
          <w:szCs w:val="24"/>
        </w:rPr>
      </w:pPr>
      <w:r w:rsidRPr="003B2171">
        <w:rPr>
          <w:szCs w:val="24"/>
        </w:rPr>
        <w:t>Results</w:t>
      </w:r>
    </w:p>
    <w:p w14:paraId="7B5ABDA6" w14:textId="4E7B4F37" w:rsidR="003B2171" w:rsidRPr="003B2171" w:rsidRDefault="003B2171" w:rsidP="003B2171">
      <w:pPr>
        <w:jc w:val="both"/>
        <w:rPr>
          <w:szCs w:val="24"/>
        </w:rPr>
      </w:pPr>
      <w:r w:rsidRPr="003B2171">
        <w:rPr>
          <w:szCs w:val="24"/>
        </w:rPr>
        <w:t>We found evident subtype heterogeneity for reproductive factors. We observed that post-menopausal status was more prevalent in luminal-A subtype, while compared to luminal-A subtype, luminal-B and HER-2 enriched subtypes were less likely to be found in post-menopausal women (OR: 0.21, 95%CI 0.10–0.41, </w:t>
      </w:r>
      <w:r w:rsidRPr="003B2171">
        <w:rPr>
          <w:i/>
          <w:iCs/>
          <w:szCs w:val="24"/>
        </w:rPr>
        <w:t>p</w:t>
      </w:r>
      <w:r w:rsidRPr="003B2171">
        <w:rPr>
          <w:szCs w:val="24"/>
        </w:rPr>
        <w:t> = 0.001; OR: 0.39, 95%CI 0.17–0.89, </w:t>
      </w:r>
      <w:r w:rsidRPr="003B2171">
        <w:rPr>
          <w:i/>
          <w:iCs/>
          <w:szCs w:val="24"/>
        </w:rPr>
        <w:t>p</w:t>
      </w:r>
      <w:r w:rsidRPr="003B2171">
        <w:rPr>
          <w:szCs w:val="24"/>
        </w:rPr>
        <w:t> = 0.026, respectively). Also, the luminal-B subtype was more likely to be diagnosed in patients aged ≤ 40 years than the luminal-A subtype (OR: 2.80, 95%CI 1.46–5.32, </w:t>
      </w:r>
      <w:r w:rsidRPr="003B2171">
        <w:rPr>
          <w:i/>
          <w:iCs/>
          <w:szCs w:val="24"/>
        </w:rPr>
        <w:t>p</w:t>
      </w:r>
      <w:r w:rsidRPr="003B2171">
        <w:rPr>
          <w:szCs w:val="24"/>
        </w:rPr>
        <w:t> = 0.002). Women who had their first full-term pregnancy at &lt; 30 years were more likely to be of luminal-B (OR: 2.71, 95%CI 1.18–4.17, </w:t>
      </w:r>
      <w:r w:rsidRPr="003B2171">
        <w:rPr>
          <w:i/>
          <w:iCs/>
          <w:szCs w:val="24"/>
        </w:rPr>
        <w:t>p</w:t>
      </w:r>
      <w:r w:rsidRPr="003B2171">
        <w:rPr>
          <w:szCs w:val="24"/>
        </w:rPr>
        <w:t> = 0.018), and triple-negative (OR: 2.28, 95%CI 1.02–4.07, </w:t>
      </w:r>
      <w:r w:rsidRPr="003B2171">
        <w:rPr>
          <w:i/>
          <w:iCs/>
          <w:szCs w:val="24"/>
        </w:rPr>
        <w:t>p</w:t>
      </w:r>
      <w:r w:rsidRPr="003B2171">
        <w:rPr>
          <w:szCs w:val="24"/>
        </w:rPr>
        <w:t> = 0.044) subtypes relative to luminal-A subtype. Furthermore, we observed that breastfeeding might have reduced odds of developing luminal-A, luminal-B and triple-negative subtypes. Women who never breastfed were more likely to be diagnosed with luminal-B and triple-negative subtypes when compared to luminal-A subtype (OR: 0.46, 95%CI 0.22–0.95, </w:t>
      </w:r>
      <w:r w:rsidRPr="003B2171">
        <w:rPr>
          <w:i/>
          <w:iCs/>
          <w:szCs w:val="24"/>
        </w:rPr>
        <w:t>p</w:t>
      </w:r>
      <w:r w:rsidRPr="003B2171">
        <w:rPr>
          <w:szCs w:val="24"/>
        </w:rPr>
        <w:t> = 0.035; OR: 0.41, 95%CI 0.20–0.85, </w:t>
      </w:r>
      <w:r w:rsidRPr="003B2171">
        <w:rPr>
          <w:i/>
          <w:iCs/>
          <w:szCs w:val="24"/>
        </w:rPr>
        <w:t>p</w:t>
      </w:r>
      <w:r w:rsidRPr="003B2171">
        <w:rPr>
          <w:szCs w:val="24"/>
        </w:rPr>
        <w:t> = 0.017, respectively).</w:t>
      </w:r>
    </w:p>
    <w:p w14:paraId="632A768C" w14:textId="77777777" w:rsidR="003B2171" w:rsidRPr="003B2171" w:rsidRDefault="003B2171" w:rsidP="003B2171">
      <w:pPr>
        <w:jc w:val="both"/>
        <w:rPr>
          <w:szCs w:val="24"/>
        </w:rPr>
      </w:pPr>
      <w:r w:rsidRPr="003B2171">
        <w:rPr>
          <w:szCs w:val="24"/>
        </w:rPr>
        <w:t>Conclusion</w:t>
      </w:r>
    </w:p>
    <w:p w14:paraId="6F12D2C4" w14:textId="77777777" w:rsidR="003B2171" w:rsidRPr="003B2171" w:rsidRDefault="003B2171" w:rsidP="003B2171">
      <w:pPr>
        <w:jc w:val="both"/>
        <w:rPr>
          <w:szCs w:val="24"/>
        </w:rPr>
      </w:pPr>
      <w:r w:rsidRPr="003B2171">
        <w:rPr>
          <w:szCs w:val="24"/>
        </w:rPr>
        <w:lastRenderedPageBreak/>
        <w:t>Our results are the first data reporting reproductive factors heterogeneity among BC molecular subtypes in Tanzania. Our findings suggest that breast-feeding may reduce the likelihood of developing luminal-A, luminal-B, and triple-negative subtypes. Meanwhile, the first full-term pregnancy after 30 years of age could increase the chance of developing luminal-A subtype, a highly prevalent subtype in Tanzania. More interventions to promote modifiable risk factors across multiple levels may most successfully reduce BC incidence in Africa.</w:t>
      </w:r>
    </w:p>
    <w:p w14:paraId="6340F5AD" w14:textId="226FB10C" w:rsidR="00BC007A" w:rsidRPr="00340EAF" w:rsidRDefault="00BC007A" w:rsidP="003B2171">
      <w:pPr>
        <w:jc w:val="both"/>
        <w:rPr>
          <w:i/>
          <w:szCs w:val="24"/>
        </w:rPr>
      </w:pPr>
    </w:p>
    <w:sectPr w:rsidR="00BC007A" w:rsidRPr="00340EAF" w:rsidSect="00442A71">
      <w:footerReference w:type="default" r:id="rId10"/>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FF7D" w14:textId="77777777" w:rsidR="003D65A6" w:rsidRDefault="003D65A6">
      <w:r>
        <w:separator/>
      </w:r>
    </w:p>
  </w:endnote>
  <w:endnote w:type="continuationSeparator" w:id="0">
    <w:p w14:paraId="567FAA0C" w14:textId="77777777" w:rsidR="003D65A6" w:rsidRDefault="003D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proofErr w:type="spellStart"/>
    <w:r>
      <w:rPr>
        <w:rFonts w:ascii="Arial" w:hAnsi="Arial" w:cs="Arial"/>
        <w:sz w:val="18"/>
        <w:szCs w:val="18"/>
      </w:rPr>
      <w:t>Mloganzila</w:t>
    </w:r>
    <w:proofErr w:type="spellEnd"/>
    <w:r>
      <w:rPr>
        <w:rFonts w:ascii="Arial" w:hAnsi="Arial" w:cs="Arial"/>
        <w:sz w:val="18"/>
        <w:szCs w:val="18"/>
      </w:rPr>
      <w:t xml:space="preserve">,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6412" w14:textId="77777777" w:rsidR="003D65A6" w:rsidRDefault="003D65A6">
      <w:r>
        <w:separator/>
      </w:r>
    </w:p>
  </w:footnote>
  <w:footnote w:type="continuationSeparator" w:id="0">
    <w:p w14:paraId="2042D5ED" w14:textId="77777777" w:rsidR="003D65A6" w:rsidRDefault="003D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84A14"/>
    <w:multiLevelType w:val="multilevel"/>
    <w:tmpl w:val="5B5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16884">
    <w:abstractNumId w:val="0"/>
  </w:num>
  <w:num w:numId="2" w16cid:durableId="192232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E5"/>
    <w:rsid w:val="00000933"/>
    <w:rsid w:val="00026FD6"/>
    <w:rsid w:val="000557E5"/>
    <w:rsid w:val="000D0DE8"/>
    <w:rsid w:val="000E7589"/>
    <w:rsid w:val="00126173"/>
    <w:rsid w:val="0015493B"/>
    <w:rsid w:val="00173D81"/>
    <w:rsid w:val="001B53FD"/>
    <w:rsid w:val="001D7625"/>
    <w:rsid w:val="001E18F8"/>
    <w:rsid w:val="00224BE5"/>
    <w:rsid w:val="00291C55"/>
    <w:rsid w:val="002A5F34"/>
    <w:rsid w:val="0031490E"/>
    <w:rsid w:val="00324EF4"/>
    <w:rsid w:val="00340EAF"/>
    <w:rsid w:val="003856FC"/>
    <w:rsid w:val="003B2171"/>
    <w:rsid w:val="003D65A6"/>
    <w:rsid w:val="0045085D"/>
    <w:rsid w:val="004B282D"/>
    <w:rsid w:val="005003BB"/>
    <w:rsid w:val="005100ED"/>
    <w:rsid w:val="00515BE7"/>
    <w:rsid w:val="00601238"/>
    <w:rsid w:val="00641F8F"/>
    <w:rsid w:val="00671ABE"/>
    <w:rsid w:val="00687245"/>
    <w:rsid w:val="006D4E9E"/>
    <w:rsid w:val="006E1565"/>
    <w:rsid w:val="00705621"/>
    <w:rsid w:val="007436B4"/>
    <w:rsid w:val="00761875"/>
    <w:rsid w:val="007B220B"/>
    <w:rsid w:val="007C7C9A"/>
    <w:rsid w:val="007F6FA9"/>
    <w:rsid w:val="00800918"/>
    <w:rsid w:val="00814890"/>
    <w:rsid w:val="00831A47"/>
    <w:rsid w:val="00837569"/>
    <w:rsid w:val="008421D8"/>
    <w:rsid w:val="00846C73"/>
    <w:rsid w:val="00892863"/>
    <w:rsid w:val="008B1657"/>
    <w:rsid w:val="008C6ED4"/>
    <w:rsid w:val="00911D15"/>
    <w:rsid w:val="00925E69"/>
    <w:rsid w:val="00936DE4"/>
    <w:rsid w:val="00955824"/>
    <w:rsid w:val="0097431A"/>
    <w:rsid w:val="009750DE"/>
    <w:rsid w:val="0098753F"/>
    <w:rsid w:val="009B511B"/>
    <w:rsid w:val="009C6B0B"/>
    <w:rsid w:val="009E370A"/>
    <w:rsid w:val="009E3A75"/>
    <w:rsid w:val="00A31757"/>
    <w:rsid w:val="00A447F5"/>
    <w:rsid w:val="00A67D5B"/>
    <w:rsid w:val="00A836AA"/>
    <w:rsid w:val="00B42CCB"/>
    <w:rsid w:val="00B73B98"/>
    <w:rsid w:val="00B84FEE"/>
    <w:rsid w:val="00BA4CE5"/>
    <w:rsid w:val="00BC007A"/>
    <w:rsid w:val="00BD554A"/>
    <w:rsid w:val="00BE5564"/>
    <w:rsid w:val="00C85F54"/>
    <w:rsid w:val="00CA0185"/>
    <w:rsid w:val="00CB3F9C"/>
    <w:rsid w:val="00D241A6"/>
    <w:rsid w:val="00D42328"/>
    <w:rsid w:val="00D6397E"/>
    <w:rsid w:val="00D904B3"/>
    <w:rsid w:val="00DF1358"/>
    <w:rsid w:val="00E01467"/>
    <w:rsid w:val="00E53EC7"/>
    <w:rsid w:val="00E76DB7"/>
    <w:rsid w:val="00E9734C"/>
    <w:rsid w:val="00F949C1"/>
    <w:rsid w:val="00FA6151"/>
    <w:rsid w:val="00FB673F"/>
    <w:rsid w:val="00FD375C"/>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1">
    <w:name w:val="Unresolved Mention1"/>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 w:type="character" w:styleId="CommentReference">
    <w:name w:val="annotation reference"/>
    <w:basedOn w:val="DefaultParagraphFont"/>
    <w:uiPriority w:val="99"/>
    <w:semiHidden/>
    <w:unhideWhenUsed/>
    <w:rsid w:val="00E01467"/>
    <w:rPr>
      <w:sz w:val="16"/>
      <w:szCs w:val="16"/>
    </w:rPr>
  </w:style>
  <w:style w:type="paragraph" w:styleId="CommentText">
    <w:name w:val="annotation text"/>
    <w:basedOn w:val="Normal"/>
    <w:link w:val="CommentTextChar"/>
    <w:uiPriority w:val="99"/>
    <w:semiHidden/>
    <w:unhideWhenUsed/>
    <w:rsid w:val="00E01467"/>
    <w:rPr>
      <w:sz w:val="20"/>
    </w:rPr>
  </w:style>
  <w:style w:type="character" w:customStyle="1" w:styleId="CommentTextChar">
    <w:name w:val="Comment Text Char"/>
    <w:basedOn w:val="DefaultParagraphFont"/>
    <w:link w:val="CommentText"/>
    <w:uiPriority w:val="99"/>
    <w:semiHidden/>
    <w:rsid w:val="00E014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67"/>
    <w:rPr>
      <w:b/>
      <w:bCs/>
    </w:rPr>
  </w:style>
  <w:style w:type="character" w:customStyle="1" w:styleId="CommentSubjectChar">
    <w:name w:val="Comment Subject Char"/>
    <w:basedOn w:val="CommentTextChar"/>
    <w:link w:val="CommentSubject"/>
    <w:uiPriority w:val="99"/>
    <w:semiHidden/>
    <w:rsid w:val="00E014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C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639588">
      <w:bodyDiv w:val="1"/>
      <w:marLeft w:val="0"/>
      <w:marRight w:val="0"/>
      <w:marTop w:val="0"/>
      <w:marBottom w:val="0"/>
      <w:divBdr>
        <w:top w:val="none" w:sz="0" w:space="0" w:color="auto"/>
        <w:left w:val="none" w:sz="0" w:space="0" w:color="auto"/>
        <w:bottom w:val="none" w:sz="0" w:space="0" w:color="auto"/>
        <w:right w:val="none" w:sz="0" w:space="0" w:color="auto"/>
      </w:divBdr>
      <w:divsChild>
        <w:div w:id="1416708559">
          <w:marLeft w:val="0"/>
          <w:marRight w:val="0"/>
          <w:marTop w:val="0"/>
          <w:marBottom w:val="0"/>
          <w:divBdr>
            <w:top w:val="none" w:sz="0" w:space="0" w:color="auto"/>
            <w:left w:val="none" w:sz="0" w:space="0" w:color="auto"/>
            <w:bottom w:val="none" w:sz="0" w:space="0" w:color="auto"/>
            <w:right w:val="none" w:sz="0" w:space="0" w:color="auto"/>
          </w:divBdr>
        </w:div>
      </w:divsChild>
    </w:div>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15">
      <w:bodyDiv w:val="1"/>
      <w:marLeft w:val="0"/>
      <w:marRight w:val="0"/>
      <w:marTop w:val="0"/>
      <w:marBottom w:val="0"/>
      <w:divBdr>
        <w:top w:val="none" w:sz="0" w:space="0" w:color="auto"/>
        <w:left w:val="none" w:sz="0" w:space="0" w:color="auto"/>
        <w:bottom w:val="none" w:sz="0" w:space="0" w:color="auto"/>
        <w:right w:val="none" w:sz="0" w:space="0" w:color="auto"/>
      </w:divBdr>
    </w:div>
    <w:div w:id="1584489761">
      <w:bodyDiv w:val="1"/>
      <w:marLeft w:val="0"/>
      <w:marRight w:val="0"/>
      <w:marTop w:val="0"/>
      <w:marBottom w:val="0"/>
      <w:divBdr>
        <w:top w:val="none" w:sz="0" w:space="0" w:color="auto"/>
        <w:left w:val="none" w:sz="0" w:space="0" w:color="auto"/>
        <w:bottom w:val="none" w:sz="0" w:space="0" w:color="auto"/>
        <w:right w:val="none" w:sz="0" w:space="0" w:color="auto"/>
      </w:divBdr>
    </w:div>
    <w:div w:id="2055961358">
      <w:bodyDiv w:val="1"/>
      <w:marLeft w:val="0"/>
      <w:marRight w:val="0"/>
      <w:marTop w:val="0"/>
      <w:marBottom w:val="0"/>
      <w:divBdr>
        <w:top w:val="none" w:sz="0" w:space="0" w:color="auto"/>
        <w:left w:val="none" w:sz="0" w:space="0" w:color="auto"/>
        <w:bottom w:val="none" w:sz="0" w:space="0" w:color="auto"/>
        <w:right w:val="none" w:sz="0" w:space="0" w:color="auto"/>
      </w:divBdr>
      <w:divsChild>
        <w:div w:id="12974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CF08-5F8A-4931-8EAC-10F9AD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Arafa Mkumbo</cp:lastModifiedBy>
  <cp:revision>3</cp:revision>
  <dcterms:created xsi:type="dcterms:W3CDTF">2025-08-04T10:50:00Z</dcterms:created>
  <dcterms:modified xsi:type="dcterms:W3CDTF">2025-08-04T10:53:00Z</dcterms:modified>
</cp:coreProperties>
</file>