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9A445" w14:textId="77777777" w:rsidR="00BA4CE5" w:rsidRPr="00ED0A37" w:rsidRDefault="00BA4CE5" w:rsidP="00601238">
      <w:pPr>
        <w:jc w:val="center"/>
        <w:rPr>
          <w:b/>
          <w:szCs w:val="24"/>
        </w:rPr>
      </w:pPr>
      <w:r w:rsidRPr="00ED0A37">
        <w:rPr>
          <w:b/>
          <w:szCs w:val="24"/>
        </w:rPr>
        <w:t>THE UNITED REPUBLIC OF TANZANIA</w:t>
      </w:r>
    </w:p>
    <w:p w14:paraId="259FB420" w14:textId="77777777" w:rsidR="00BA4CE5" w:rsidRPr="00ED0A37" w:rsidRDefault="00BA4CE5" w:rsidP="00601238">
      <w:pPr>
        <w:rPr>
          <w:szCs w:val="24"/>
        </w:rPr>
      </w:pPr>
    </w:p>
    <w:tbl>
      <w:tblPr>
        <w:tblW w:w="8963" w:type="dxa"/>
        <w:tblBorders>
          <w:bottom w:val="thinThickThinSmallGap" w:sz="24" w:space="0" w:color="auto"/>
        </w:tblBorders>
        <w:tblLook w:val="04A0" w:firstRow="1" w:lastRow="0" w:firstColumn="1" w:lastColumn="0" w:noHBand="0" w:noVBand="1"/>
      </w:tblPr>
      <w:tblGrid>
        <w:gridCol w:w="1946"/>
        <w:gridCol w:w="4975"/>
        <w:gridCol w:w="2042"/>
      </w:tblGrid>
      <w:tr w:rsidR="00BA4CE5" w:rsidRPr="00ED0A37" w14:paraId="32B87508" w14:textId="77777777" w:rsidTr="009E3A75">
        <w:trPr>
          <w:trHeight w:val="339"/>
        </w:trPr>
        <w:tc>
          <w:tcPr>
            <w:tcW w:w="1946" w:type="dxa"/>
          </w:tcPr>
          <w:p w14:paraId="7ACDE6EB" w14:textId="77777777" w:rsidR="00BA4CE5" w:rsidRPr="00ED0A37" w:rsidRDefault="00BA4CE5" w:rsidP="00601238">
            <w:pPr>
              <w:rPr>
                <w:szCs w:val="24"/>
              </w:rPr>
            </w:pPr>
            <w:r w:rsidRPr="00ED0A37">
              <w:rPr>
                <w:noProof/>
              </w:rPr>
              <w:drawing>
                <wp:inline distT="0" distB="0" distL="0" distR="0" wp14:anchorId="34CF7A71" wp14:editId="169911AD">
                  <wp:extent cx="990600" cy="1143000"/>
                  <wp:effectExtent l="0" t="0" r="0" b="0"/>
                  <wp:docPr id="2" name="Picture 2" descr="1000px-Coat_of_arms_of_Tanz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0px-Coat_of_arms_of_Tanzan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143000"/>
                          </a:xfrm>
                          <a:prstGeom prst="rect">
                            <a:avLst/>
                          </a:prstGeom>
                          <a:noFill/>
                          <a:ln>
                            <a:noFill/>
                          </a:ln>
                        </pic:spPr>
                      </pic:pic>
                    </a:graphicData>
                  </a:graphic>
                </wp:inline>
              </w:drawing>
            </w:r>
          </w:p>
        </w:tc>
        <w:tc>
          <w:tcPr>
            <w:tcW w:w="4975" w:type="dxa"/>
          </w:tcPr>
          <w:p w14:paraId="4820C785" w14:textId="309A0B6C" w:rsidR="00BA4CE5" w:rsidRPr="00ED0A37" w:rsidRDefault="00BA4CE5" w:rsidP="00601238">
            <w:pPr>
              <w:jc w:val="center"/>
              <w:rPr>
                <w:szCs w:val="24"/>
              </w:rPr>
            </w:pPr>
            <w:r w:rsidRPr="00ED0A37">
              <w:rPr>
                <w:szCs w:val="24"/>
              </w:rPr>
              <w:t>MINISTRY OF HEALTH</w:t>
            </w:r>
          </w:p>
          <w:p w14:paraId="2C9326CA" w14:textId="77777777" w:rsidR="00BA4CE5" w:rsidRPr="00ED0A37" w:rsidRDefault="00BA4CE5" w:rsidP="00601238">
            <w:pPr>
              <w:jc w:val="center"/>
              <w:rPr>
                <w:b/>
                <w:sz w:val="28"/>
                <w:szCs w:val="28"/>
              </w:rPr>
            </w:pPr>
          </w:p>
          <w:p w14:paraId="2443D552" w14:textId="77777777" w:rsidR="00BA4CE5" w:rsidRPr="00ED0A37" w:rsidRDefault="00BA4CE5" w:rsidP="00601238">
            <w:pPr>
              <w:jc w:val="center"/>
              <w:rPr>
                <w:b/>
                <w:sz w:val="28"/>
                <w:szCs w:val="28"/>
              </w:rPr>
            </w:pPr>
            <w:r w:rsidRPr="00ED0A37">
              <w:rPr>
                <w:b/>
                <w:sz w:val="28"/>
                <w:szCs w:val="28"/>
              </w:rPr>
              <w:t>MUHIMBILI NATIONAL HOSPITAL</w:t>
            </w:r>
          </w:p>
          <w:p w14:paraId="595B7EA2" w14:textId="77777777" w:rsidR="00BA4CE5" w:rsidRPr="00ED0A37" w:rsidRDefault="00BA4CE5" w:rsidP="00601238">
            <w:pPr>
              <w:jc w:val="center"/>
              <w:rPr>
                <w:b/>
                <w:sz w:val="28"/>
                <w:szCs w:val="28"/>
              </w:rPr>
            </w:pPr>
            <w:r w:rsidRPr="00ED0A37">
              <w:rPr>
                <w:b/>
                <w:sz w:val="28"/>
                <w:szCs w:val="28"/>
              </w:rPr>
              <w:t>MLOGANZILA</w:t>
            </w:r>
          </w:p>
        </w:tc>
        <w:tc>
          <w:tcPr>
            <w:tcW w:w="2042" w:type="dxa"/>
          </w:tcPr>
          <w:p w14:paraId="2615F082" w14:textId="77777777" w:rsidR="00BA4CE5" w:rsidRPr="00ED0A37" w:rsidRDefault="00BA4CE5" w:rsidP="00601238">
            <w:pPr>
              <w:jc w:val="right"/>
              <w:rPr>
                <w:szCs w:val="24"/>
              </w:rPr>
            </w:pPr>
            <w:r w:rsidRPr="00ED0A37">
              <w:rPr>
                <w:noProof/>
              </w:rPr>
              <w:drawing>
                <wp:inline distT="0" distB="0" distL="0" distR="0" wp14:anchorId="0947DE69" wp14:editId="252C1D57">
                  <wp:extent cx="1066800" cy="1143000"/>
                  <wp:effectExtent l="0" t="0" r="0" b="0"/>
                  <wp:docPr id="1" name="Picture 1" descr="D:\Junior\MNH\Website\mn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unior\MNH\Website\mnh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143000"/>
                          </a:xfrm>
                          <a:prstGeom prst="rect">
                            <a:avLst/>
                          </a:prstGeom>
                          <a:noFill/>
                          <a:ln>
                            <a:noFill/>
                          </a:ln>
                        </pic:spPr>
                      </pic:pic>
                    </a:graphicData>
                  </a:graphic>
                </wp:inline>
              </w:drawing>
            </w:r>
          </w:p>
        </w:tc>
      </w:tr>
      <w:tr w:rsidR="00BA4CE5" w:rsidRPr="00ED0A37" w14:paraId="7EAEBF9C" w14:textId="77777777" w:rsidTr="009E3A75">
        <w:trPr>
          <w:trHeight w:val="339"/>
        </w:trPr>
        <w:tc>
          <w:tcPr>
            <w:tcW w:w="1946" w:type="dxa"/>
          </w:tcPr>
          <w:p w14:paraId="696E8A85" w14:textId="77777777" w:rsidR="00BA4CE5" w:rsidRPr="00ED0A37" w:rsidRDefault="00BA4CE5" w:rsidP="00601238">
            <w:pPr>
              <w:rPr>
                <w:noProof/>
              </w:rPr>
            </w:pPr>
          </w:p>
        </w:tc>
        <w:tc>
          <w:tcPr>
            <w:tcW w:w="4975" w:type="dxa"/>
          </w:tcPr>
          <w:p w14:paraId="50C50F9E" w14:textId="77777777" w:rsidR="00BA4CE5" w:rsidRPr="00ED0A37" w:rsidRDefault="00BA4CE5" w:rsidP="00601238">
            <w:pPr>
              <w:jc w:val="center"/>
              <w:rPr>
                <w:szCs w:val="24"/>
              </w:rPr>
            </w:pPr>
          </w:p>
        </w:tc>
        <w:tc>
          <w:tcPr>
            <w:tcW w:w="2042" w:type="dxa"/>
          </w:tcPr>
          <w:p w14:paraId="32F5118B" w14:textId="77777777" w:rsidR="00BA4CE5" w:rsidRPr="00ED0A37" w:rsidRDefault="00BA4CE5" w:rsidP="00601238">
            <w:pPr>
              <w:jc w:val="right"/>
              <w:rPr>
                <w:noProof/>
              </w:rPr>
            </w:pPr>
          </w:p>
        </w:tc>
      </w:tr>
    </w:tbl>
    <w:p w14:paraId="0DA101D7" w14:textId="17232920" w:rsidR="000260B1" w:rsidRDefault="000D0266" w:rsidP="00E01467">
      <w:pPr>
        <w:jc w:val="both"/>
        <w:rPr>
          <w:rFonts w:eastAsiaTheme="minorHAnsi"/>
          <w:b/>
          <w:bCs/>
          <w:color w:val="000000"/>
          <w:sz w:val="28"/>
          <w:szCs w:val="28"/>
        </w:rPr>
      </w:pPr>
      <w:r w:rsidRPr="000260B1">
        <w:rPr>
          <w:rFonts w:eastAsiaTheme="minorHAnsi"/>
          <w:b/>
          <w:bCs/>
          <w:color w:val="000000"/>
          <w:sz w:val="28"/>
          <w:szCs w:val="28"/>
        </w:rPr>
        <w:t>Women</w:t>
      </w:r>
      <w:r w:rsidR="000260B1" w:rsidRPr="000260B1">
        <w:rPr>
          <w:rFonts w:eastAsiaTheme="minorHAnsi"/>
          <w:b/>
          <w:bCs/>
          <w:color w:val="000000"/>
          <w:sz w:val="28"/>
          <w:szCs w:val="28"/>
        </w:rPr>
        <w:t xml:space="preserve"> lived social-cultural and clinical experiences and navigation process after stillbirth in Dodoma Region, Tanzania: A phenomenological study </w:t>
      </w:r>
    </w:p>
    <w:p w14:paraId="751012B6" w14:textId="77777777" w:rsidR="000260B1" w:rsidRPr="000260B1" w:rsidRDefault="000260B1" w:rsidP="00E01467">
      <w:pPr>
        <w:jc w:val="both"/>
        <w:rPr>
          <w:rFonts w:eastAsiaTheme="minorHAnsi"/>
          <w:b/>
          <w:bCs/>
          <w:color w:val="000000"/>
          <w:szCs w:val="24"/>
        </w:rPr>
      </w:pPr>
      <w:r w:rsidRPr="000260B1">
        <w:rPr>
          <w:rFonts w:eastAsiaTheme="minorHAnsi"/>
          <w:b/>
          <w:bCs/>
          <w:color w:val="000000"/>
          <w:szCs w:val="24"/>
        </w:rPr>
        <w:t xml:space="preserve">Hashim Yatera, Angelina A. Joho *, Golden M. Masika </w:t>
      </w:r>
    </w:p>
    <w:p w14:paraId="336D3295" w14:textId="7DBB5D44" w:rsidR="000260B1" w:rsidRDefault="000260B1" w:rsidP="00E01467">
      <w:pPr>
        <w:jc w:val="both"/>
        <w:rPr>
          <w:rFonts w:eastAsiaTheme="minorHAnsi"/>
          <w:bCs/>
          <w:color w:val="000000"/>
          <w:szCs w:val="24"/>
        </w:rPr>
      </w:pPr>
      <w:r w:rsidRPr="000260B1">
        <w:rPr>
          <w:rFonts w:eastAsiaTheme="minorHAnsi"/>
          <w:bCs/>
          <w:color w:val="000000"/>
          <w:szCs w:val="24"/>
        </w:rPr>
        <w:t xml:space="preserve">Department of Clinical Nursing, School of Nursing and Public Health, the University of Dodoma, Dodoma, Tanzania </w:t>
      </w:r>
    </w:p>
    <w:p w14:paraId="7BEBDB29" w14:textId="77777777" w:rsidR="000260B1" w:rsidRDefault="000260B1" w:rsidP="00E01467">
      <w:pPr>
        <w:jc w:val="both"/>
        <w:rPr>
          <w:rFonts w:eastAsiaTheme="minorHAnsi"/>
          <w:bCs/>
          <w:color w:val="000000"/>
          <w:szCs w:val="24"/>
        </w:rPr>
      </w:pPr>
    </w:p>
    <w:p w14:paraId="740E694D" w14:textId="44B0B78F" w:rsidR="00F25C9B" w:rsidRPr="000260B1" w:rsidRDefault="000260B1" w:rsidP="00E01467">
      <w:pPr>
        <w:jc w:val="both"/>
        <w:rPr>
          <w:rFonts w:eastAsiaTheme="minorHAnsi"/>
          <w:bCs/>
          <w:color w:val="000000"/>
          <w:szCs w:val="24"/>
        </w:rPr>
      </w:pPr>
      <w:r w:rsidRPr="000260B1">
        <w:rPr>
          <w:rFonts w:eastAsiaTheme="minorHAnsi"/>
          <w:bCs/>
          <w:color w:val="000000"/>
          <w:szCs w:val="24"/>
        </w:rPr>
        <w:t xml:space="preserve">* </w:t>
      </w:r>
      <w:r>
        <w:rPr>
          <w:rFonts w:eastAsiaTheme="minorHAnsi"/>
          <w:bCs/>
          <w:color w:val="000000"/>
          <w:szCs w:val="24"/>
        </w:rPr>
        <w:t xml:space="preserve">Corresponding author: </w:t>
      </w:r>
      <w:hyperlink r:id="rId10" w:history="1">
        <w:r w:rsidRPr="000260B1">
          <w:rPr>
            <w:rStyle w:val="Hyperlink"/>
            <w:rFonts w:eastAsiaTheme="minorHAnsi"/>
            <w:bCs/>
            <w:szCs w:val="24"/>
          </w:rPr>
          <w:t>johoangeljoho@yahoo.co.uk</w:t>
        </w:r>
      </w:hyperlink>
    </w:p>
    <w:p w14:paraId="67EAAF8C" w14:textId="399832D8" w:rsidR="00F25C9B" w:rsidRPr="00EE1BD3" w:rsidRDefault="00F25C9B" w:rsidP="00E01467">
      <w:pPr>
        <w:jc w:val="both"/>
        <w:rPr>
          <w:rFonts w:eastAsiaTheme="minorHAnsi"/>
          <w:bCs/>
          <w:color w:val="5B9BD5" w:themeColor="accent1"/>
          <w:szCs w:val="24"/>
          <w:lang w:val="fr-FR"/>
        </w:rPr>
      </w:pPr>
      <w:proofErr w:type="gramStart"/>
      <w:r w:rsidRPr="00EE1BD3">
        <w:rPr>
          <w:rFonts w:eastAsiaTheme="minorHAnsi"/>
          <w:bCs/>
          <w:color w:val="5B9BD5" w:themeColor="accent1"/>
          <w:szCs w:val="24"/>
          <w:lang w:val="fr-FR"/>
        </w:rPr>
        <w:t>DOI:</w:t>
      </w:r>
      <w:proofErr w:type="gramEnd"/>
      <w:r w:rsidRPr="00EE1BD3">
        <w:rPr>
          <w:lang w:val="fr-FR"/>
        </w:rPr>
        <w:t xml:space="preserve"> </w:t>
      </w:r>
      <w:hyperlink r:id="rId11" w:history="1">
        <w:r w:rsidR="000260B1" w:rsidRPr="00EE1BD3">
          <w:rPr>
            <w:rStyle w:val="Hyperlink"/>
            <w:rFonts w:eastAsiaTheme="minorHAnsi"/>
            <w:bCs/>
            <w:szCs w:val="24"/>
            <w:lang w:val="fr-FR"/>
          </w:rPr>
          <w:t>https://doi.org/10.1371/journal.pone.0331319</w:t>
        </w:r>
      </w:hyperlink>
    </w:p>
    <w:p w14:paraId="07EDC2F5" w14:textId="77777777" w:rsidR="000260B1" w:rsidRPr="00EE1BD3" w:rsidRDefault="000260B1" w:rsidP="00E01467">
      <w:pPr>
        <w:jc w:val="both"/>
        <w:rPr>
          <w:rFonts w:eastAsiaTheme="minorHAnsi"/>
          <w:bCs/>
          <w:color w:val="000000"/>
          <w:szCs w:val="24"/>
          <w:lang w:val="fr-FR"/>
        </w:rPr>
      </w:pPr>
    </w:p>
    <w:p w14:paraId="50E31F40" w14:textId="7FC2E13B" w:rsidR="007B4B7C" w:rsidRPr="000260B1" w:rsidRDefault="000260B1" w:rsidP="00E01467">
      <w:pPr>
        <w:jc w:val="both"/>
        <w:rPr>
          <w:rFonts w:eastAsiaTheme="minorHAnsi"/>
          <w:b/>
          <w:bCs/>
          <w:iCs/>
          <w:color w:val="000000"/>
          <w:szCs w:val="24"/>
        </w:rPr>
      </w:pPr>
      <w:r w:rsidRPr="000260B1">
        <w:rPr>
          <w:rFonts w:eastAsiaTheme="minorHAnsi"/>
          <w:b/>
          <w:bCs/>
          <w:iCs/>
          <w:color w:val="000000"/>
          <w:szCs w:val="24"/>
        </w:rPr>
        <w:t>Abstract</w:t>
      </w:r>
    </w:p>
    <w:p w14:paraId="6636D0F1" w14:textId="35DC55FC" w:rsidR="007F35F8" w:rsidRPr="00ED0A37" w:rsidRDefault="000260B1" w:rsidP="007B4B7C">
      <w:pPr>
        <w:jc w:val="both"/>
        <w:rPr>
          <w:rFonts w:eastAsiaTheme="minorHAnsi"/>
          <w:bCs/>
          <w:color w:val="000000"/>
          <w:szCs w:val="24"/>
        </w:rPr>
      </w:pPr>
      <w:r w:rsidRPr="000260B1">
        <w:rPr>
          <w:b/>
        </w:rPr>
        <w:t>Background</w:t>
      </w:r>
      <w:r>
        <w:t xml:space="preserve">: In Tanzania, stillbirth is a public health challenge. The care provided to women after stillbirth does not reflect standards. Little is known on view of the social and clinical human experience surrounding this tragedy. This study explored women lived social-cultural and clinical experiences and the navigation process after stillbirth in Dodoma. </w:t>
      </w:r>
      <w:r w:rsidRPr="004F2527">
        <w:rPr>
          <w:b/>
        </w:rPr>
        <w:t>Method</w:t>
      </w:r>
      <w:r w:rsidR="004F2527">
        <w:t>:</w:t>
      </w:r>
      <w:r>
        <w:t xml:space="preserve"> A phenomenological qualitative approach was conducted from February 15, 2024, to May 30, 2024, involving in-depth interviews with 12 informants (postnatal women) who were purposefully selected, achieving data saturation at 9 informants. Data were transcribed verbatim, manifest coded and analyzed using conventional content analysis. Subsequently, sub-categories and main categories were generated. At the theorizing phase, the conceptual interpretation of categories and subcategories were used to generate the conceptual framework that describes the phenomenon of women’s navigation process from the experienced life challenges towards maintaining the overall well-being after stillbirth. </w:t>
      </w:r>
      <w:r w:rsidRPr="004F2527">
        <w:rPr>
          <w:b/>
        </w:rPr>
        <w:t>Results</w:t>
      </w:r>
      <w:r w:rsidR="004F2527">
        <w:t>:</w:t>
      </w:r>
      <w:r>
        <w:t xml:space="preserve"> The study identifies six main categories of exposure, each with three subcategories: </w:t>
      </w:r>
      <w:r>
        <w:rPr>
          <w:rFonts w:ascii="Cambria Math" w:hAnsi="Cambria Math" w:cs="Cambria Math"/>
        </w:rPr>
        <w:t>①</w:t>
      </w:r>
      <w:r>
        <w:t xml:space="preserve"> Unsatisfactory medical care (dissatisfaction with medical care, neglected bereavement care, and improper breaking of information); </w:t>
      </w:r>
      <w:r>
        <w:rPr>
          <w:rFonts w:ascii="Cambria Math" w:hAnsi="Cambria Math" w:cs="Cambria Math"/>
        </w:rPr>
        <w:t>②</w:t>
      </w:r>
      <w:r>
        <w:t xml:space="preserve"> Diversity and adversity in cultural practices (dominance of elders’ power, diversity of cultural practice and emotional responses); and </w:t>
      </w:r>
      <w:r>
        <w:rPr>
          <w:rFonts w:ascii="Cambria Math" w:hAnsi="Cambria Math" w:cs="Cambria Math"/>
        </w:rPr>
        <w:t>③</w:t>
      </w:r>
      <w:r>
        <w:t>Diversity in social practices (diversity of social responses towards the news, diversity in social responsibilities and diversity exp</w:t>
      </w:r>
      <w:r w:rsidR="004F2527">
        <w:t>erience after social</w:t>
      </w:r>
      <w:r>
        <w:t xml:space="preserve">, </w:t>
      </w:r>
      <w:r>
        <w:rPr>
          <w:rFonts w:ascii="Cambria Math" w:hAnsi="Cambria Math" w:cs="Cambria Math"/>
        </w:rPr>
        <w:t>④</w:t>
      </w:r>
      <w:r>
        <w:t xml:space="preserve"> Meaning constructed after still birth (unpleasant phenomenon of stillbirth, all suffering for nothing, the baby could be saved), </w:t>
      </w:r>
      <w:r>
        <w:rPr>
          <w:rFonts w:ascii="Cambria Math" w:hAnsi="Cambria Math" w:cs="Cambria Math"/>
        </w:rPr>
        <w:t>⑤</w:t>
      </w:r>
      <w:r>
        <w:t xml:space="preserve"> Mental and physical health challenges (anxiety and depression, post-traumatic stress disorder, and physical burden of still birth), </w:t>
      </w:r>
      <w:r>
        <w:rPr>
          <w:rFonts w:ascii="Cambria Math" w:hAnsi="Cambria Math" w:cs="Cambria Math"/>
        </w:rPr>
        <w:t>⑥</w:t>
      </w:r>
      <w:r>
        <w:t xml:space="preserve"> Navigating the stillbirth experiences (self-coping, social support and hospital support). </w:t>
      </w:r>
      <w:r w:rsidRPr="004F2527">
        <w:rPr>
          <w:b/>
        </w:rPr>
        <w:t>Conclusion</w:t>
      </w:r>
      <w:r w:rsidR="004F2527">
        <w:t xml:space="preserve">: </w:t>
      </w:r>
      <w:r>
        <w:t xml:space="preserve">The study found that women who experience stillbirth face significant social, cultural, and psychological challenges that impact their perception and meaning of their world and their mental wellbeing. Ultimately, they invariably navigate to a state of well-being. This highlights the urgent need for culturally sensitive interventions and dedicated healthcare and social support systems to help mothers recover smoothly and swiftly. </w:t>
      </w:r>
    </w:p>
    <w:p w14:paraId="5890D5DA" w14:textId="77777777" w:rsidR="004624DF" w:rsidRPr="00ED0A37" w:rsidRDefault="004624DF" w:rsidP="007B4B7C">
      <w:pPr>
        <w:jc w:val="both"/>
        <w:rPr>
          <w:rFonts w:eastAsiaTheme="minorHAnsi"/>
          <w:bCs/>
          <w:color w:val="000000"/>
          <w:szCs w:val="24"/>
        </w:rPr>
      </w:pPr>
    </w:p>
    <w:p w14:paraId="0DAF7A90" w14:textId="77777777" w:rsidR="004624DF" w:rsidRPr="00ED0A37" w:rsidRDefault="004624DF" w:rsidP="007B4B7C">
      <w:pPr>
        <w:jc w:val="both"/>
        <w:rPr>
          <w:rFonts w:eastAsiaTheme="minorHAnsi"/>
          <w:bCs/>
          <w:color w:val="000000"/>
          <w:szCs w:val="24"/>
        </w:rPr>
      </w:pPr>
    </w:p>
    <w:p w14:paraId="1FFDA58E" w14:textId="77777777" w:rsidR="004624DF" w:rsidRDefault="004624DF" w:rsidP="007B4B7C">
      <w:pPr>
        <w:jc w:val="both"/>
        <w:rPr>
          <w:rFonts w:eastAsiaTheme="minorHAnsi"/>
          <w:bCs/>
          <w:color w:val="000000"/>
          <w:szCs w:val="24"/>
        </w:rPr>
      </w:pPr>
    </w:p>
    <w:p w14:paraId="08C0E784" w14:textId="77777777" w:rsidR="00245B05" w:rsidRPr="00245B05" w:rsidRDefault="00245B05" w:rsidP="00245B05">
      <w:pPr>
        <w:spacing w:line="276" w:lineRule="auto"/>
        <w:jc w:val="both"/>
        <w:rPr>
          <w:b/>
          <w:bCs/>
          <w:color w:val="1C1C1C"/>
          <w:spacing w:val="1"/>
          <w:sz w:val="28"/>
          <w:szCs w:val="28"/>
        </w:rPr>
      </w:pPr>
      <w:r w:rsidRPr="00245B05">
        <w:rPr>
          <w:b/>
          <w:bCs/>
          <w:color w:val="1C1C1C"/>
          <w:spacing w:val="1"/>
          <w:sz w:val="28"/>
          <w:szCs w:val="28"/>
        </w:rPr>
        <w:t xml:space="preserve">The Role of Nutrition Therapy in Recovery from Severe Burns:  A Case Report from </w:t>
      </w:r>
      <w:proofErr w:type="spellStart"/>
      <w:r w:rsidRPr="00245B05">
        <w:rPr>
          <w:b/>
          <w:bCs/>
          <w:color w:val="1C1C1C"/>
          <w:spacing w:val="1"/>
          <w:sz w:val="28"/>
          <w:szCs w:val="28"/>
        </w:rPr>
        <w:t>Muhimbili</w:t>
      </w:r>
      <w:proofErr w:type="spellEnd"/>
      <w:r w:rsidRPr="00245B05">
        <w:rPr>
          <w:b/>
          <w:bCs/>
          <w:color w:val="1C1C1C"/>
          <w:spacing w:val="1"/>
          <w:sz w:val="28"/>
          <w:szCs w:val="28"/>
        </w:rPr>
        <w:t xml:space="preserve"> National Hospital, Mloganzila.</w:t>
      </w:r>
    </w:p>
    <w:p w14:paraId="6B7E642E" w14:textId="77777777" w:rsidR="00245B05" w:rsidRPr="00245B05" w:rsidRDefault="00245B05" w:rsidP="00245B05">
      <w:pPr>
        <w:spacing w:line="276" w:lineRule="auto"/>
        <w:jc w:val="both"/>
        <w:rPr>
          <w:color w:val="1C1C1C"/>
          <w:spacing w:val="1"/>
          <w:szCs w:val="24"/>
        </w:rPr>
      </w:pPr>
      <w:r w:rsidRPr="00245B05">
        <w:rPr>
          <w:b/>
          <w:bCs/>
          <w:color w:val="1C1C1C"/>
          <w:spacing w:val="1"/>
          <w:szCs w:val="24"/>
        </w:rPr>
        <w:t>Arafa E. Mkumbo</w:t>
      </w:r>
      <w:r w:rsidRPr="00245B05">
        <w:rPr>
          <w:b/>
          <w:bCs/>
          <w:color w:val="1C1C1C"/>
          <w:spacing w:val="1"/>
          <w:szCs w:val="24"/>
          <w:vertAlign w:val="superscript"/>
        </w:rPr>
        <w:t>1</w:t>
      </w:r>
      <w:r w:rsidRPr="00245B05">
        <w:rPr>
          <w:b/>
          <w:bCs/>
          <w:color w:val="1C1C1C"/>
          <w:spacing w:val="1"/>
          <w:szCs w:val="24"/>
        </w:rPr>
        <w:t xml:space="preserve">*, </w:t>
      </w:r>
      <w:proofErr w:type="spellStart"/>
      <w:r w:rsidRPr="00245B05">
        <w:rPr>
          <w:b/>
          <w:bCs/>
          <w:color w:val="1C1C1C"/>
          <w:spacing w:val="1"/>
          <w:szCs w:val="24"/>
        </w:rPr>
        <w:t>Ulumbi</w:t>
      </w:r>
      <w:proofErr w:type="spellEnd"/>
      <w:r w:rsidRPr="00245B05">
        <w:rPr>
          <w:b/>
          <w:bCs/>
          <w:color w:val="1C1C1C"/>
          <w:spacing w:val="1"/>
          <w:szCs w:val="24"/>
        </w:rPr>
        <w:t xml:space="preserve"> Kilimba</w:t>
      </w:r>
      <w:r w:rsidRPr="00245B05">
        <w:rPr>
          <w:b/>
          <w:bCs/>
          <w:color w:val="1C1C1C"/>
          <w:spacing w:val="1"/>
          <w:szCs w:val="24"/>
          <w:vertAlign w:val="superscript"/>
        </w:rPr>
        <w:t>1</w:t>
      </w:r>
      <w:r w:rsidRPr="00245B05">
        <w:rPr>
          <w:b/>
          <w:bCs/>
          <w:color w:val="1C1C1C"/>
          <w:spacing w:val="1"/>
          <w:szCs w:val="24"/>
        </w:rPr>
        <w:t>, Dr. Howard Kingu</w:t>
      </w:r>
      <w:r w:rsidRPr="00245B05">
        <w:rPr>
          <w:b/>
          <w:bCs/>
          <w:color w:val="1C1C1C"/>
          <w:spacing w:val="1"/>
          <w:szCs w:val="24"/>
          <w:vertAlign w:val="superscript"/>
        </w:rPr>
        <w:t>1</w:t>
      </w:r>
      <w:r w:rsidRPr="00245B05">
        <w:rPr>
          <w:b/>
          <w:bCs/>
          <w:color w:val="1C1C1C"/>
          <w:spacing w:val="1"/>
          <w:szCs w:val="24"/>
        </w:rPr>
        <w:t>, Petro Lazaro</w:t>
      </w:r>
      <w:r w:rsidRPr="00245B05">
        <w:rPr>
          <w:b/>
          <w:bCs/>
          <w:color w:val="1C1C1C"/>
          <w:spacing w:val="1"/>
          <w:szCs w:val="24"/>
          <w:vertAlign w:val="superscript"/>
        </w:rPr>
        <w:t>1</w:t>
      </w:r>
      <w:r w:rsidRPr="00245B05">
        <w:rPr>
          <w:b/>
          <w:bCs/>
          <w:color w:val="1C1C1C"/>
          <w:spacing w:val="1"/>
          <w:szCs w:val="24"/>
        </w:rPr>
        <w:t>, Ashura Kazema</w:t>
      </w:r>
      <w:r w:rsidRPr="00245B05">
        <w:rPr>
          <w:b/>
          <w:bCs/>
          <w:color w:val="1C1C1C"/>
          <w:spacing w:val="1"/>
          <w:szCs w:val="24"/>
          <w:vertAlign w:val="superscript"/>
        </w:rPr>
        <w:t>1</w:t>
      </w:r>
      <w:r w:rsidRPr="00245B05">
        <w:rPr>
          <w:b/>
          <w:bCs/>
          <w:color w:val="1C1C1C"/>
          <w:spacing w:val="1"/>
          <w:szCs w:val="24"/>
        </w:rPr>
        <w:t>&amp; Wilson Gwessa</w:t>
      </w:r>
      <w:r w:rsidRPr="00245B05">
        <w:rPr>
          <w:b/>
          <w:bCs/>
          <w:color w:val="1C1C1C"/>
          <w:spacing w:val="1"/>
          <w:szCs w:val="24"/>
          <w:vertAlign w:val="superscript"/>
        </w:rPr>
        <w:t>1</w:t>
      </w:r>
    </w:p>
    <w:p w14:paraId="6AD61F83" w14:textId="77777777" w:rsidR="00245B05" w:rsidRPr="00245B05" w:rsidRDefault="00245B05" w:rsidP="00245B05">
      <w:pPr>
        <w:spacing w:line="276" w:lineRule="auto"/>
        <w:jc w:val="both"/>
        <w:rPr>
          <w:color w:val="1C1C1C"/>
          <w:spacing w:val="1"/>
          <w:szCs w:val="24"/>
          <w:lang w:val="de-DE"/>
        </w:rPr>
      </w:pPr>
      <w:r w:rsidRPr="00245B05">
        <w:rPr>
          <w:color w:val="1C1C1C"/>
          <w:spacing w:val="1"/>
          <w:szCs w:val="24"/>
          <w:vertAlign w:val="superscript"/>
          <w:lang w:val="de-DE"/>
        </w:rPr>
        <w:t>1</w:t>
      </w:r>
      <w:r w:rsidRPr="00245B05">
        <w:rPr>
          <w:color w:val="1C1C1C"/>
          <w:spacing w:val="1"/>
          <w:szCs w:val="24"/>
          <w:lang w:val="de-DE"/>
        </w:rPr>
        <w:t xml:space="preserve">Muhimbili National Hospital Mloganzila, P.O.Box 65000, Dar es Salaam, Tanzania. </w:t>
      </w:r>
    </w:p>
    <w:p w14:paraId="3383C686" w14:textId="77777777" w:rsidR="00245B05" w:rsidRPr="00245B05" w:rsidRDefault="00245B05" w:rsidP="00245B05">
      <w:pPr>
        <w:spacing w:line="276" w:lineRule="auto"/>
        <w:jc w:val="both"/>
        <w:rPr>
          <w:color w:val="1C1C1C"/>
          <w:spacing w:val="1"/>
          <w:sz w:val="28"/>
          <w:szCs w:val="28"/>
          <w:lang w:val="de-DE"/>
        </w:rPr>
      </w:pPr>
    </w:p>
    <w:p w14:paraId="6163C5BD" w14:textId="77777777" w:rsidR="00245B05" w:rsidRPr="00245B05" w:rsidRDefault="00245B05" w:rsidP="00245B05">
      <w:pPr>
        <w:spacing w:line="276" w:lineRule="auto"/>
        <w:jc w:val="both"/>
        <w:rPr>
          <w:rFonts w:eastAsia="Calibri"/>
          <w:color w:val="000000"/>
          <w:sz w:val="22"/>
          <w:szCs w:val="22"/>
        </w:rPr>
      </w:pPr>
      <w:r w:rsidRPr="00245B05">
        <w:rPr>
          <w:color w:val="1C1C1C"/>
          <w:spacing w:val="1"/>
          <w:szCs w:val="24"/>
        </w:rPr>
        <w:t xml:space="preserve">*Correspondence Author: Arafa E. Mkumbo, Clinical Research, Training and Consultancy Unit; ORCID ID; </w:t>
      </w:r>
      <w:hyperlink r:id="rId12" w:history="1">
        <w:r w:rsidRPr="00245B05">
          <w:rPr>
            <w:color w:val="0000FF"/>
            <w:spacing w:val="1"/>
            <w:szCs w:val="24"/>
            <w:u w:val="single"/>
          </w:rPr>
          <w:t>https://orcid.org/0009-0005-9666-7719</w:t>
        </w:r>
      </w:hyperlink>
      <w:r w:rsidRPr="00245B05">
        <w:rPr>
          <w:color w:val="1C1C1C"/>
          <w:spacing w:val="1"/>
          <w:szCs w:val="24"/>
        </w:rPr>
        <w:t>; Email: aragitta14@gmail.com</w:t>
      </w:r>
    </w:p>
    <w:p w14:paraId="4BA5D34E" w14:textId="77777777" w:rsidR="00245B05" w:rsidRPr="00245B05" w:rsidRDefault="00245B05" w:rsidP="00245B05">
      <w:pPr>
        <w:spacing w:line="276" w:lineRule="auto"/>
        <w:jc w:val="both"/>
        <w:rPr>
          <w:szCs w:val="24"/>
        </w:rPr>
      </w:pPr>
      <w:r w:rsidRPr="00245B05">
        <w:rPr>
          <w:szCs w:val="24"/>
        </w:rPr>
        <w:t>DOI: </w:t>
      </w:r>
      <w:hyperlink r:id="rId13" w:history="1">
        <w:r w:rsidRPr="00245B05">
          <w:rPr>
            <w:color w:val="0000FF"/>
            <w:szCs w:val="24"/>
            <w:u w:val="single"/>
          </w:rPr>
          <w:t>https://doi.org/10.37284/eajhs.8.2.3512</w:t>
        </w:r>
      </w:hyperlink>
    </w:p>
    <w:p w14:paraId="33A8238A" w14:textId="77777777" w:rsidR="00245B05" w:rsidRPr="00245B05" w:rsidRDefault="00245B05" w:rsidP="00245B05">
      <w:pPr>
        <w:spacing w:line="276" w:lineRule="auto"/>
        <w:jc w:val="both"/>
        <w:rPr>
          <w:rFonts w:eastAsia="Calibri"/>
          <w:b/>
          <w:bCs/>
          <w:color w:val="000000"/>
          <w:szCs w:val="24"/>
        </w:rPr>
      </w:pPr>
    </w:p>
    <w:p w14:paraId="5468348E" w14:textId="77777777" w:rsidR="00245B05" w:rsidRPr="00245B05" w:rsidRDefault="00245B05" w:rsidP="00245B05">
      <w:pPr>
        <w:spacing w:line="276" w:lineRule="auto"/>
        <w:jc w:val="both"/>
        <w:rPr>
          <w:rFonts w:eastAsia="Calibri"/>
          <w:b/>
          <w:bCs/>
          <w:color w:val="000000"/>
          <w:szCs w:val="24"/>
        </w:rPr>
      </w:pPr>
      <w:r w:rsidRPr="00245B05">
        <w:rPr>
          <w:rFonts w:eastAsia="Calibri"/>
          <w:b/>
          <w:bCs/>
          <w:color w:val="000000"/>
          <w:szCs w:val="24"/>
        </w:rPr>
        <w:t>Abstract</w:t>
      </w:r>
    </w:p>
    <w:p w14:paraId="3CB51A1B" w14:textId="77777777" w:rsidR="00245B05" w:rsidRPr="00245B05" w:rsidRDefault="00245B05" w:rsidP="00245B05">
      <w:pPr>
        <w:spacing w:line="276" w:lineRule="auto"/>
        <w:jc w:val="both"/>
        <w:rPr>
          <w:rFonts w:eastAsia="Calibri"/>
          <w:color w:val="000000"/>
          <w:szCs w:val="24"/>
        </w:rPr>
      </w:pPr>
      <w:r w:rsidRPr="00245B05">
        <w:rPr>
          <w:rFonts w:eastAsia="Calibri"/>
          <w:b/>
          <w:bCs/>
          <w:color w:val="000000"/>
          <w:szCs w:val="24"/>
        </w:rPr>
        <w:t>Background</w:t>
      </w:r>
      <w:r w:rsidRPr="00245B05">
        <w:rPr>
          <w:rFonts w:eastAsia="Calibri"/>
          <w:color w:val="000000"/>
          <w:szCs w:val="24"/>
        </w:rPr>
        <w:t>: Severe burn injuries are associated with profound hypermetabolic and catabolic responses that significantly increase nutritional requirements. Effective nutritional management is crucial for promoting wound healing, minimizing complications, and improving recovery outcomes, especially in resource-limited settings. </w:t>
      </w:r>
    </w:p>
    <w:p w14:paraId="0AB75494" w14:textId="77777777" w:rsidR="00245B05" w:rsidRPr="00245B05" w:rsidRDefault="00245B05" w:rsidP="00245B05">
      <w:pPr>
        <w:spacing w:line="276" w:lineRule="auto"/>
        <w:jc w:val="both"/>
        <w:rPr>
          <w:rFonts w:eastAsia="Calibri"/>
          <w:color w:val="000000"/>
          <w:szCs w:val="24"/>
        </w:rPr>
      </w:pPr>
      <w:r w:rsidRPr="00245B05">
        <w:rPr>
          <w:rFonts w:eastAsia="Calibri"/>
          <w:b/>
          <w:bCs/>
          <w:color w:val="000000"/>
          <w:szCs w:val="24"/>
        </w:rPr>
        <w:t>Purpose</w:t>
      </w:r>
      <w:r w:rsidRPr="00245B05">
        <w:rPr>
          <w:rFonts w:eastAsia="Calibri"/>
          <w:color w:val="000000"/>
          <w:szCs w:val="24"/>
        </w:rPr>
        <w:t>: This case report aims to highlight the practical and individualized nutritional strategies used to manage a patient with extensive burn injuries in a low-resource ICU setting. </w:t>
      </w:r>
    </w:p>
    <w:p w14:paraId="36347248" w14:textId="77777777" w:rsidR="00245B05" w:rsidRPr="00245B05" w:rsidRDefault="00245B05" w:rsidP="00245B05">
      <w:pPr>
        <w:spacing w:line="276" w:lineRule="auto"/>
        <w:jc w:val="both"/>
        <w:rPr>
          <w:rFonts w:eastAsia="Calibri"/>
          <w:color w:val="000000"/>
          <w:szCs w:val="24"/>
        </w:rPr>
      </w:pPr>
      <w:r w:rsidRPr="00245B05">
        <w:rPr>
          <w:rFonts w:eastAsia="Calibri"/>
          <w:b/>
          <w:bCs/>
          <w:color w:val="000000"/>
          <w:szCs w:val="24"/>
        </w:rPr>
        <w:t>Methods</w:t>
      </w:r>
      <w:r w:rsidRPr="00245B05">
        <w:rPr>
          <w:rFonts w:eastAsia="Calibri"/>
          <w:color w:val="000000"/>
          <w:szCs w:val="24"/>
        </w:rPr>
        <w:t xml:space="preserve">: A 30-year-old male was admitted to </w:t>
      </w:r>
      <w:proofErr w:type="spellStart"/>
      <w:r w:rsidRPr="00245B05">
        <w:rPr>
          <w:rFonts w:eastAsia="Calibri"/>
          <w:color w:val="000000"/>
          <w:szCs w:val="24"/>
        </w:rPr>
        <w:t>Muhimbili</w:t>
      </w:r>
      <w:proofErr w:type="spellEnd"/>
      <w:r w:rsidRPr="00245B05">
        <w:rPr>
          <w:rFonts w:eastAsia="Calibri"/>
          <w:color w:val="000000"/>
          <w:szCs w:val="24"/>
        </w:rPr>
        <w:t xml:space="preserve"> National Hospital–Mloganzila following a motor traffic accident, sustaining deep second-degree burns over 53% of his total body surface area (TBSA), including the trunk, back, forearms, lower limbs, and buttocks. Upon admission, he presented with fluid imbalance, hypoalbuminemia, and functional feeding limitations. Nutritional needs were calculated using the Curreri formula, and a tailored nutrition care plan was developed. Fluid resuscitation followed the Parkland formula. Meals were provided from both hospital and home sources, supplemented with high-protein oral feeds, zinc (15 mg), and vitamin C (500 mg). Caregiver involvement and nursing support were integrated into the feeding process. Key Results: The individualized nutrition plan, supported by interdisciplinary collaboration and caregiver education, contributed to achieving target nutritional intake and clinical improvements. The patient showed gradual recovery with stabilized albumin levels, improved wound healing, and reduced complications. </w:t>
      </w:r>
    </w:p>
    <w:p w14:paraId="1510F6B2" w14:textId="77777777" w:rsidR="00245B05" w:rsidRDefault="00245B05" w:rsidP="00245B05">
      <w:pPr>
        <w:spacing w:line="276" w:lineRule="auto"/>
        <w:jc w:val="both"/>
        <w:rPr>
          <w:rFonts w:eastAsia="Calibri"/>
          <w:color w:val="000000"/>
          <w:szCs w:val="24"/>
        </w:rPr>
      </w:pPr>
      <w:r w:rsidRPr="00245B05">
        <w:rPr>
          <w:rFonts w:eastAsia="Calibri"/>
          <w:b/>
          <w:bCs/>
          <w:color w:val="000000"/>
          <w:szCs w:val="24"/>
        </w:rPr>
        <w:t>Conclusion</w:t>
      </w:r>
      <w:r w:rsidRPr="00245B05">
        <w:rPr>
          <w:rFonts w:eastAsia="Calibri"/>
          <w:color w:val="000000"/>
          <w:szCs w:val="24"/>
        </w:rPr>
        <w:t>: In resource-limited settings, effective burn nutrition therapy is feasible using locally available foods, targeted supplementation, and multidisciplinary coordination. Early assessment, tailored interventions, caregiver engagement, and regular monitoring are critical to successful burn recovery outcomes.</w:t>
      </w:r>
    </w:p>
    <w:p w14:paraId="78BEE095" w14:textId="77777777" w:rsidR="00245B05" w:rsidRDefault="00245B05" w:rsidP="00245B05">
      <w:pPr>
        <w:spacing w:line="276" w:lineRule="auto"/>
        <w:jc w:val="both"/>
        <w:rPr>
          <w:rFonts w:eastAsia="Calibri"/>
          <w:color w:val="000000"/>
          <w:szCs w:val="24"/>
        </w:rPr>
      </w:pPr>
    </w:p>
    <w:p w14:paraId="10472FD9" w14:textId="77777777" w:rsidR="00245B05" w:rsidRDefault="00245B05" w:rsidP="00245B05">
      <w:pPr>
        <w:spacing w:line="276" w:lineRule="auto"/>
        <w:jc w:val="both"/>
        <w:rPr>
          <w:rFonts w:eastAsia="Calibri"/>
          <w:color w:val="000000"/>
          <w:szCs w:val="24"/>
        </w:rPr>
      </w:pPr>
    </w:p>
    <w:p w14:paraId="1B0D5D9A" w14:textId="77777777" w:rsidR="00245B05" w:rsidRDefault="00245B05" w:rsidP="00245B05">
      <w:pPr>
        <w:spacing w:line="276" w:lineRule="auto"/>
        <w:jc w:val="both"/>
        <w:rPr>
          <w:rFonts w:eastAsia="Calibri"/>
          <w:color w:val="000000"/>
          <w:szCs w:val="24"/>
        </w:rPr>
      </w:pPr>
    </w:p>
    <w:p w14:paraId="46799DA3" w14:textId="77777777" w:rsidR="00245B05" w:rsidRDefault="00245B05" w:rsidP="00245B05">
      <w:pPr>
        <w:spacing w:line="276" w:lineRule="auto"/>
        <w:jc w:val="both"/>
        <w:rPr>
          <w:rFonts w:eastAsia="Calibri"/>
          <w:color w:val="000000"/>
          <w:szCs w:val="24"/>
        </w:rPr>
      </w:pPr>
    </w:p>
    <w:p w14:paraId="4171FBCB" w14:textId="77777777" w:rsidR="00245B05" w:rsidRDefault="00245B05" w:rsidP="00245B05">
      <w:pPr>
        <w:spacing w:line="276" w:lineRule="auto"/>
        <w:jc w:val="both"/>
        <w:rPr>
          <w:rFonts w:eastAsia="Calibri"/>
          <w:color w:val="000000"/>
          <w:szCs w:val="24"/>
        </w:rPr>
      </w:pPr>
    </w:p>
    <w:p w14:paraId="33063A41" w14:textId="77777777" w:rsidR="00245B05" w:rsidRDefault="00245B05" w:rsidP="00245B05">
      <w:pPr>
        <w:spacing w:line="276" w:lineRule="auto"/>
        <w:jc w:val="both"/>
        <w:rPr>
          <w:rFonts w:eastAsia="Calibri"/>
          <w:color w:val="000000"/>
          <w:szCs w:val="24"/>
        </w:rPr>
      </w:pPr>
    </w:p>
    <w:p w14:paraId="37CF42B7" w14:textId="77777777" w:rsidR="00245B05" w:rsidRPr="00245B05" w:rsidRDefault="00245B05" w:rsidP="00245B05">
      <w:pPr>
        <w:spacing w:line="276" w:lineRule="auto"/>
        <w:jc w:val="both"/>
        <w:rPr>
          <w:rFonts w:eastAsia="Calibri"/>
          <w:color w:val="000000"/>
          <w:sz w:val="28"/>
          <w:szCs w:val="28"/>
        </w:rPr>
      </w:pPr>
    </w:p>
    <w:p w14:paraId="59554703" w14:textId="77777777" w:rsidR="00245B05" w:rsidRPr="00245B05" w:rsidRDefault="00245B05" w:rsidP="00245B05">
      <w:pPr>
        <w:spacing w:line="276" w:lineRule="auto"/>
        <w:jc w:val="both"/>
        <w:rPr>
          <w:rFonts w:eastAsia="Calibri"/>
          <w:b/>
          <w:bCs/>
          <w:color w:val="000000"/>
          <w:sz w:val="28"/>
          <w:szCs w:val="28"/>
        </w:rPr>
      </w:pPr>
      <w:r w:rsidRPr="00245B05">
        <w:rPr>
          <w:rFonts w:eastAsia="Calibri"/>
          <w:b/>
          <w:bCs/>
          <w:color w:val="000000"/>
          <w:sz w:val="28"/>
          <w:szCs w:val="28"/>
        </w:rPr>
        <w:t>Lung adenocarcinoma with brain metastases presenting as unilateral weakness: A rare case report</w:t>
      </w:r>
    </w:p>
    <w:p w14:paraId="37922CE9" w14:textId="09133560" w:rsidR="00245B05" w:rsidRPr="00245B05" w:rsidRDefault="00245B05" w:rsidP="00245B05">
      <w:pPr>
        <w:spacing w:line="276" w:lineRule="auto"/>
        <w:jc w:val="both"/>
        <w:rPr>
          <w:rFonts w:eastAsia="Calibri"/>
          <w:b/>
          <w:bCs/>
          <w:color w:val="000000"/>
          <w:szCs w:val="24"/>
          <w:vertAlign w:val="superscript"/>
        </w:rPr>
      </w:pPr>
      <w:r w:rsidRPr="00245B05">
        <w:rPr>
          <w:rFonts w:eastAsia="Calibri"/>
          <w:b/>
          <w:bCs/>
          <w:color w:val="000000"/>
          <w:szCs w:val="24"/>
        </w:rPr>
        <w:t>Anette Kessy </w:t>
      </w:r>
      <w:proofErr w:type="spellStart"/>
      <w:proofErr w:type="gramStart"/>
      <w:r w:rsidRPr="00245B05">
        <w:rPr>
          <w:rFonts w:eastAsia="Calibri"/>
          <w:b/>
          <w:bCs/>
          <w:color w:val="000000"/>
          <w:szCs w:val="24"/>
        </w:rPr>
        <w:t>MD,MMed</w:t>
      </w:r>
      <w:proofErr w:type="spellEnd"/>
      <w:proofErr w:type="gramEnd"/>
      <w:r w:rsidRPr="00245B05">
        <w:rPr>
          <w:rFonts w:eastAsia="Calibri"/>
          <w:b/>
          <w:bCs/>
          <w:color w:val="000000"/>
          <w:szCs w:val="24"/>
        </w:rPr>
        <w:t> </w:t>
      </w:r>
      <w:r w:rsidRPr="00245B05">
        <w:rPr>
          <w:rFonts w:eastAsia="Calibri"/>
          <w:b/>
          <w:bCs/>
          <w:color w:val="000000"/>
          <w:szCs w:val="24"/>
          <w:vertAlign w:val="superscript"/>
        </w:rPr>
        <w:t>a</w:t>
      </w:r>
      <w:r w:rsidRPr="00245B05">
        <w:rPr>
          <w:rFonts w:eastAsia="Calibri"/>
          <w:b/>
          <w:bCs/>
          <w:color w:val="000000"/>
          <w:szCs w:val="24"/>
        </w:rPr>
        <w:t xml:space="preserve">, Costancia Macha MD, </w:t>
      </w:r>
      <w:proofErr w:type="spellStart"/>
      <w:r w:rsidRPr="00245B05">
        <w:rPr>
          <w:rFonts w:eastAsia="Calibri"/>
          <w:b/>
          <w:bCs/>
          <w:color w:val="000000"/>
          <w:szCs w:val="24"/>
        </w:rPr>
        <w:t>MMed</w:t>
      </w:r>
      <w:proofErr w:type="spellEnd"/>
      <w:r w:rsidRPr="00245B05">
        <w:rPr>
          <w:rFonts w:eastAsia="Calibri"/>
          <w:b/>
          <w:bCs/>
          <w:color w:val="000000"/>
          <w:szCs w:val="24"/>
        </w:rPr>
        <w:t> </w:t>
      </w:r>
      <w:r w:rsidRPr="00245B05">
        <w:rPr>
          <w:rFonts w:eastAsia="Calibri"/>
          <w:b/>
          <w:bCs/>
          <w:color w:val="000000"/>
          <w:szCs w:val="24"/>
          <w:vertAlign w:val="superscript"/>
        </w:rPr>
        <w:t>a</w:t>
      </w:r>
      <w:r w:rsidRPr="00245B05">
        <w:rPr>
          <w:rFonts w:eastAsia="Calibri"/>
          <w:b/>
          <w:bCs/>
          <w:color w:val="000000"/>
          <w:szCs w:val="24"/>
        </w:rPr>
        <w:t xml:space="preserve">, Zuwena Kassim MD, </w:t>
      </w:r>
      <w:proofErr w:type="spellStart"/>
      <w:r w:rsidRPr="00245B05">
        <w:rPr>
          <w:rFonts w:eastAsia="Calibri"/>
          <w:b/>
          <w:bCs/>
          <w:color w:val="000000"/>
          <w:szCs w:val="24"/>
        </w:rPr>
        <w:t>MMed</w:t>
      </w:r>
      <w:proofErr w:type="spellEnd"/>
      <w:r w:rsidRPr="00245B05">
        <w:rPr>
          <w:rFonts w:eastAsia="Calibri"/>
          <w:b/>
          <w:bCs/>
          <w:color w:val="000000"/>
          <w:szCs w:val="24"/>
        </w:rPr>
        <w:t> </w:t>
      </w:r>
      <w:r w:rsidRPr="00245B05">
        <w:rPr>
          <w:rFonts w:eastAsia="Calibri"/>
          <w:b/>
          <w:bCs/>
          <w:color w:val="000000"/>
          <w:szCs w:val="24"/>
          <w:vertAlign w:val="superscript"/>
        </w:rPr>
        <w:t>a</w:t>
      </w:r>
      <w:r w:rsidRPr="00245B05">
        <w:rPr>
          <w:rFonts w:eastAsia="Calibri"/>
          <w:b/>
          <w:bCs/>
          <w:color w:val="000000"/>
          <w:szCs w:val="24"/>
        </w:rPr>
        <w:t xml:space="preserve">, Mpola Tamambele MD, </w:t>
      </w:r>
      <w:proofErr w:type="spellStart"/>
      <w:r w:rsidRPr="00245B05">
        <w:rPr>
          <w:rFonts w:eastAsia="Calibri"/>
          <w:b/>
          <w:bCs/>
          <w:color w:val="000000"/>
          <w:szCs w:val="24"/>
        </w:rPr>
        <w:t>MMed</w:t>
      </w:r>
      <w:proofErr w:type="spellEnd"/>
      <w:r w:rsidRPr="00245B05">
        <w:rPr>
          <w:rFonts w:eastAsia="Calibri"/>
          <w:b/>
          <w:bCs/>
          <w:color w:val="000000"/>
          <w:szCs w:val="24"/>
        </w:rPr>
        <w:t> </w:t>
      </w:r>
      <w:r w:rsidRPr="00245B05">
        <w:rPr>
          <w:rFonts w:eastAsia="Calibri"/>
          <w:b/>
          <w:bCs/>
          <w:color w:val="000000"/>
          <w:szCs w:val="24"/>
          <w:vertAlign w:val="superscript"/>
        </w:rPr>
        <w:t>a</w:t>
      </w:r>
      <w:r w:rsidRPr="00245B05">
        <w:rPr>
          <w:rFonts w:eastAsia="Calibri"/>
          <w:b/>
          <w:bCs/>
          <w:color w:val="000000"/>
          <w:szCs w:val="24"/>
        </w:rPr>
        <w:t>, Sima Rugarabamu PhD </w:t>
      </w:r>
      <w:r w:rsidRPr="00245B05">
        <w:rPr>
          <w:rFonts w:eastAsia="Calibri"/>
          <w:b/>
          <w:bCs/>
          <w:color w:val="000000"/>
          <w:szCs w:val="24"/>
          <w:vertAlign w:val="superscript"/>
        </w:rPr>
        <w:t>b</w:t>
      </w:r>
      <w:r w:rsidRPr="00245B05">
        <w:rPr>
          <w:rFonts w:eastAsia="Calibri"/>
          <w:b/>
          <w:bCs/>
          <w:color w:val="000000"/>
          <w:szCs w:val="24"/>
        </w:rPr>
        <w:t>, Lulu Sakafu PhD </w:t>
      </w:r>
      <w:r w:rsidRPr="00245B05">
        <w:rPr>
          <w:rFonts w:eastAsia="Calibri"/>
          <w:b/>
          <w:bCs/>
          <w:color w:val="000000"/>
          <w:szCs w:val="24"/>
          <w:vertAlign w:val="superscript"/>
        </w:rPr>
        <w:t>a</w:t>
      </w:r>
    </w:p>
    <w:p w14:paraId="6F9E67C7" w14:textId="77777777" w:rsidR="00245B05" w:rsidRPr="00245B05" w:rsidRDefault="00245B05" w:rsidP="00245B05">
      <w:pPr>
        <w:spacing w:line="276" w:lineRule="auto"/>
        <w:jc w:val="both"/>
        <w:rPr>
          <w:rFonts w:eastAsia="Calibri"/>
          <w:color w:val="000000"/>
          <w:szCs w:val="24"/>
        </w:rPr>
      </w:pPr>
    </w:p>
    <w:p w14:paraId="70C9DE20" w14:textId="45C9AB2C" w:rsidR="00245B05" w:rsidRPr="00245B05" w:rsidRDefault="00245B05" w:rsidP="00245B05">
      <w:pPr>
        <w:spacing w:line="276" w:lineRule="auto"/>
        <w:jc w:val="both"/>
        <w:rPr>
          <w:rFonts w:eastAsia="Calibri"/>
          <w:color w:val="000000"/>
          <w:szCs w:val="24"/>
        </w:rPr>
      </w:pPr>
      <w:proofErr w:type="spellStart"/>
      <w:r w:rsidRPr="00245B05">
        <w:rPr>
          <w:rFonts w:eastAsia="Calibri"/>
          <w:color w:val="000000"/>
          <w:szCs w:val="24"/>
          <w:vertAlign w:val="superscript"/>
        </w:rPr>
        <w:t>a</w:t>
      </w:r>
      <w:r w:rsidRPr="00245B05">
        <w:rPr>
          <w:rFonts w:eastAsia="Calibri"/>
          <w:color w:val="000000"/>
          <w:szCs w:val="24"/>
        </w:rPr>
        <w:t>Department</w:t>
      </w:r>
      <w:proofErr w:type="spellEnd"/>
      <w:r w:rsidRPr="00245B05">
        <w:rPr>
          <w:rFonts w:eastAsia="Calibri"/>
          <w:color w:val="000000"/>
          <w:szCs w:val="24"/>
        </w:rPr>
        <w:t xml:space="preserve"> of Radiology and Imaging, </w:t>
      </w:r>
      <w:proofErr w:type="spellStart"/>
      <w:r w:rsidRPr="00245B05">
        <w:rPr>
          <w:rFonts w:eastAsia="Calibri"/>
          <w:color w:val="000000"/>
          <w:szCs w:val="24"/>
        </w:rPr>
        <w:t>Muhimbili</w:t>
      </w:r>
      <w:proofErr w:type="spellEnd"/>
      <w:r w:rsidRPr="00245B05">
        <w:rPr>
          <w:rFonts w:eastAsia="Calibri"/>
          <w:color w:val="000000"/>
          <w:szCs w:val="24"/>
        </w:rPr>
        <w:t xml:space="preserve"> National Hospital – Mloganzila, Dar-es-Salaam 65000, Tanzania</w:t>
      </w:r>
    </w:p>
    <w:p w14:paraId="5B8B04E9" w14:textId="40F35507" w:rsidR="00245B05" w:rsidRDefault="00245B05" w:rsidP="00245B05">
      <w:pPr>
        <w:spacing w:line="276" w:lineRule="auto"/>
        <w:jc w:val="both"/>
        <w:rPr>
          <w:rFonts w:eastAsia="Calibri"/>
          <w:color w:val="000000"/>
          <w:szCs w:val="24"/>
        </w:rPr>
      </w:pPr>
      <w:proofErr w:type="spellStart"/>
      <w:r w:rsidRPr="00245B05">
        <w:rPr>
          <w:rFonts w:eastAsia="Calibri"/>
          <w:color w:val="000000"/>
          <w:szCs w:val="24"/>
          <w:vertAlign w:val="superscript"/>
        </w:rPr>
        <w:t>b</w:t>
      </w:r>
      <w:r w:rsidRPr="00245B05">
        <w:rPr>
          <w:rFonts w:eastAsia="Calibri"/>
          <w:color w:val="000000"/>
          <w:szCs w:val="24"/>
        </w:rPr>
        <w:t>Clinical</w:t>
      </w:r>
      <w:proofErr w:type="spellEnd"/>
      <w:r w:rsidRPr="00245B05">
        <w:rPr>
          <w:rFonts w:eastAsia="Calibri"/>
          <w:color w:val="000000"/>
          <w:szCs w:val="24"/>
        </w:rPr>
        <w:t xml:space="preserve"> Research and Consultant unit, </w:t>
      </w:r>
      <w:proofErr w:type="spellStart"/>
      <w:r w:rsidRPr="00245B05">
        <w:rPr>
          <w:rFonts w:eastAsia="Calibri"/>
          <w:color w:val="000000"/>
          <w:szCs w:val="24"/>
        </w:rPr>
        <w:t>Muhimbili</w:t>
      </w:r>
      <w:proofErr w:type="spellEnd"/>
      <w:r w:rsidRPr="00245B05">
        <w:rPr>
          <w:rFonts w:eastAsia="Calibri"/>
          <w:color w:val="000000"/>
          <w:szCs w:val="24"/>
        </w:rPr>
        <w:t xml:space="preserve"> National Hospital – </w:t>
      </w:r>
      <w:proofErr w:type="spellStart"/>
      <w:r w:rsidRPr="00245B05">
        <w:rPr>
          <w:rFonts w:eastAsia="Calibri"/>
          <w:color w:val="000000"/>
          <w:szCs w:val="24"/>
        </w:rPr>
        <w:t>Upanga</w:t>
      </w:r>
      <w:proofErr w:type="spellEnd"/>
      <w:r w:rsidRPr="00245B05">
        <w:rPr>
          <w:rFonts w:eastAsia="Calibri"/>
          <w:color w:val="000000"/>
          <w:szCs w:val="24"/>
        </w:rPr>
        <w:t>, Dar-es-salaam 65000, Tanzania</w:t>
      </w:r>
    </w:p>
    <w:p w14:paraId="67A087B6" w14:textId="77777777" w:rsidR="00245B05" w:rsidRPr="00245B05" w:rsidRDefault="00245B05" w:rsidP="00245B05">
      <w:pPr>
        <w:spacing w:line="276" w:lineRule="auto"/>
        <w:jc w:val="both"/>
        <w:rPr>
          <w:rFonts w:eastAsia="Calibri"/>
          <w:b/>
          <w:bCs/>
          <w:color w:val="000000"/>
          <w:szCs w:val="24"/>
        </w:rPr>
      </w:pPr>
      <w:r w:rsidRPr="00245B05">
        <w:rPr>
          <w:rFonts w:eastAsia="Calibri"/>
          <w:b/>
          <w:bCs/>
          <w:color w:val="000000"/>
          <w:szCs w:val="24"/>
        </w:rPr>
        <w:t>Abstract</w:t>
      </w:r>
    </w:p>
    <w:p w14:paraId="14832D6F" w14:textId="77777777" w:rsidR="00245B05" w:rsidRPr="00245B05" w:rsidRDefault="00245B05" w:rsidP="00245B05">
      <w:pPr>
        <w:spacing w:line="276" w:lineRule="auto"/>
        <w:jc w:val="both"/>
        <w:rPr>
          <w:rFonts w:eastAsia="Calibri"/>
          <w:color w:val="000000"/>
          <w:szCs w:val="24"/>
        </w:rPr>
      </w:pPr>
      <w:r w:rsidRPr="00245B05">
        <w:rPr>
          <w:rFonts w:eastAsia="Calibri"/>
          <w:color w:val="000000"/>
          <w:szCs w:val="24"/>
        </w:rPr>
        <w:t>Lung adenocarcinoma is a leading cause of cancer-related mortality worldwide, with brain metastases occurring in approximately 16%-20% of cases. These metastases typically present with non-specific neurological symptoms such as headache, seizures, and altered mental status. However, focal presentations such as unilateral limb weakness without respiratory symptoms are rare and diagnostically challenging, especially in resource-limited settings where such symptoms are frequently misattributed to stroke or central nervous system infections. We report the case of a 61-year-old Tanzanian woman with a history of hypertension who presented with new-onset seizures and left-sided hemiparesis. She was initially treated as a case of ischemic stroke at a regional hospital. Neurological examination revealed unilateral motor weakness, while brain CT and MRI showed multiple enhancing lesions in the cerebral hemispheres and basal ganglia. A chest CT scan revealed a mass in the left lower lung with bilateral nodules. Fine needle aspiration cytology confirmed primary lung adenocarcinoma. Notably, the patient had no respiratory symptoms at presentation. She was referred to oncology for palliative care. This case illustrates a rare and atypical presentation of metastatic lung adenocarcinoma with neurological symptoms in the absence of pulmonary complaints. Clinicians should consider brain metastases in the differential diagnosis of new- onset focal neurological deficits, even when classical respiratory symptoms are absent. Early neuroimaging and histopathological confirmation are essential to guide appropriate and timely management.</w:t>
      </w:r>
    </w:p>
    <w:p w14:paraId="11C2922D" w14:textId="77777777" w:rsidR="00245B05" w:rsidRDefault="00245B05" w:rsidP="00245B05">
      <w:pPr>
        <w:spacing w:line="276" w:lineRule="auto"/>
        <w:jc w:val="both"/>
        <w:rPr>
          <w:rFonts w:eastAsia="Calibri"/>
          <w:color w:val="000000"/>
          <w:szCs w:val="24"/>
        </w:rPr>
      </w:pPr>
    </w:p>
    <w:p w14:paraId="5CD8798F" w14:textId="77777777" w:rsidR="00245B05" w:rsidRDefault="00245B05" w:rsidP="00245B05">
      <w:pPr>
        <w:spacing w:line="276" w:lineRule="auto"/>
        <w:jc w:val="both"/>
        <w:rPr>
          <w:rFonts w:eastAsia="Calibri"/>
          <w:color w:val="000000"/>
          <w:szCs w:val="24"/>
        </w:rPr>
      </w:pPr>
    </w:p>
    <w:p w14:paraId="0F0CB9AC" w14:textId="77777777" w:rsidR="00245B05" w:rsidRPr="00245B05" w:rsidRDefault="00245B05" w:rsidP="00245B05">
      <w:pPr>
        <w:spacing w:line="276" w:lineRule="auto"/>
        <w:jc w:val="both"/>
        <w:rPr>
          <w:rFonts w:eastAsia="Calibri"/>
          <w:color w:val="000000"/>
          <w:szCs w:val="24"/>
        </w:rPr>
      </w:pPr>
    </w:p>
    <w:p w14:paraId="0EAB80CB" w14:textId="77777777" w:rsidR="00EE1BD3" w:rsidRDefault="00EE1BD3" w:rsidP="007B4B7C">
      <w:pPr>
        <w:jc w:val="both"/>
        <w:rPr>
          <w:rFonts w:eastAsiaTheme="minorHAnsi"/>
          <w:bCs/>
          <w:color w:val="000000"/>
          <w:szCs w:val="24"/>
        </w:rPr>
      </w:pPr>
    </w:p>
    <w:p w14:paraId="616D7172" w14:textId="77777777" w:rsidR="000D0266" w:rsidRPr="000D0266" w:rsidRDefault="000D0266" w:rsidP="000D0266">
      <w:pPr>
        <w:jc w:val="both"/>
        <w:rPr>
          <w:rFonts w:eastAsia="Calibri"/>
          <w:b/>
          <w:bCs/>
          <w:color w:val="000000"/>
          <w:sz w:val="28"/>
          <w:szCs w:val="28"/>
        </w:rPr>
      </w:pPr>
      <w:r w:rsidRPr="000D0266">
        <w:rPr>
          <w:rFonts w:eastAsia="Calibri"/>
          <w:b/>
          <w:bCs/>
          <w:color w:val="000000"/>
          <w:sz w:val="28"/>
          <w:szCs w:val="28"/>
        </w:rPr>
        <w:t>OCULAR SONOGRAPHIC PATTERNS AND PREDICTORS OF RAISED INTRACRANIAL PRESSURE IN PAEDIATRIC HEAD INJURY AT MUHIMBILI ORTHOPAEDIC INSTITUTE.</w:t>
      </w:r>
    </w:p>
    <w:p w14:paraId="3EA61F3F" w14:textId="77777777" w:rsidR="000D0266" w:rsidRPr="000D0266" w:rsidRDefault="000D0266" w:rsidP="000D0266">
      <w:pPr>
        <w:jc w:val="both"/>
        <w:rPr>
          <w:rFonts w:eastAsia="Calibri"/>
          <w:b/>
          <w:bCs/>
          <w:color w:val="000000"/>
          <w:szCs w:val="24"/>
        </w:rPr>
      </w:pPr>
      <w:r w:rsidRPr="000D0266">
        <w:rPr>
          <w:rFonts w:eastAsia="Calibri"/>
          <w:b/>
          <w:bCs/>
          <w:color w:val="000000"/>
          <w:szCs w:val="24"/>
        </w:rPr>
        <w:t>Ibrahim Bakari</w:t>
      </w:r>
      <w:r w:rsidRPr="000D0266">
        <w:rPr>
          <w:rFonts w:eastAsia="Calibri"/>
          <w:b/>
          <w:bCs/>
          <w:color w:val="000000"/>
          <w:szCs w:val="24"/>
          <w:vertAlign w:val="superscript"/>
        </w:rPr>
        <w:t>1</w:t>
      </w:r>
      <w:r w:rsidRPr="000D0266">
        <w:rPr>
          <w:rFonts w:eastAsia="Calibri"/>
          <w:b/>
          <w:bCs/>
          <w:color w:val="000000"/>
          <w:szCs w:val="24"/>
        </w:rPr>
        <w:t>, Lulu Sakafu</w:t>
      </w:r>
      <w:r w:rsidRPr="000D0266">
        <w:rPr>
          <w:rFonts w:eastAsia="Calibri"/>
          <w:b/>
          <w:bCs/>
          <w:color w:val="000000"/>
          <w:szCs w:val="24"/>
          <w:vertAlign w:val="superscript"/>
        </w:rPr>
        <w:t xml:space="preserve">2 </w:t>
      </w:r>
      <w:r w:rsidRPr="000D0266">
        <w:rPr>
          <w:rFonts w:eastAsia="Calibri"/>
          <w:b/>
          <w:bCs/>
          <w:color w:val="000000"/>
          <w:szCs w:val="24"/>
        </w:rPr>
        <w:t xml:space="preserve">and </w:t>
      </w:r>
      <w:proofErr w:type="spellStart"/>
      <w:r w:rsidRPr="000D0266">
        <w:rPr>
          <w:rFonts w:eastAsia="Calibri"/>
          <w:b/>
          <w:bCs/>
          <w:color w:val="000000"/>
          <w:szCs w:val="24"/>
        </w:rPr>
        <w:t>Mwajabu</w:t>
      </w:r>
      <w:proofErr w:type="spellEnd"/>
      <w:r w:rsidRPr="000D0266">
        <w:rPr>
          <w:rFonts w:eastAsia="Calibri"/>
          <w:b/>
          <w:bCs/>
          <w:color w:val="000000"/>
          <w:szCs w:val="24"/>
        </w:rPr>
        <w:t xml:space="preserve"> A. Saleh</w:t>
      </w:r>
      <w:r w:rsidRPr="000D0266">
        <w:rPr>
          <w:rFonts w:eastAsia="Calibri"/>
          <w:b/>
          <w:bCs/>
          <w:color w:val="000000"/>
          <w:szCs w:val="24"/>
          <w:vertAlign w:val="superscript"/>
        </w:rPr>
        <w:t>3</w:t>
      </w:r>
    </w:p>
    <w:p w14:paraId="06097EE5" w14:textId="77777777" w:rsidR="000D0266" w:rsidRPr="000D0266" w:rsidRDefault="000D0266" w:rsidP="000D0266">
      <w:pPr>
        <w:jc w:val="both"/>
        <w:rPr>
          <w:rFonts w:eastAsia="Calibri"/>
          <w:bCs/>
          <w:color w:val="000000"/>
          <w:szCs w:val="24"/>
        </w:rPr>
      </w:pPr>
      <w:r w:rsidRPr="000D0266">
        <w:rPr>
          <w:rFonts w:eastAsia="Calibri"/>
          <w:bCs/>
          <w:color w:val="000000"/>
          <w:szCs w:val="24"/>
          <w:vertAlign w:val="superscript"/>
        </w:rPr>
        <w:t>1</w:t>
      </w:r>
      <w:r w:rsidRPr="000D0266">
        <w:rPr>
          <w:rFonts w:eastAsia="Calibri"/>
          <w:bCs/>
          <w:color w:val="000000"/>
          <w:szCs w:val="24"/>
        </w:rPr>
        <w:t>Muhimbili University of Health and Allied Sciences</w:t>
      </w:r>
    </w:p>
    <w:p w14:paraId="3555C3DA" w14:textId="77777777" w:rsidR="000D0266" w:rsidRPr="000D0266" w:rsidRDefault="000D0266" w:rsidP="000D0266">
      <w:pPr>
        <w:jc w:val="both"/>
        <w:rPr>
          <w:rFonts w:eastAsia="Calibri"/>
          <w:bCs/>
          <w:color w:val="000000"/>
          <w:szCs w:val="24"/>
        </w:rPr>
      </w:pPr>
      <w:r w:rsidRPr="000D0266">
        <w:rPr>
          <w:rFonts w:eastAsia="Calibri"/>
          <w:bCs/>
          <w:color w:val="000000"/>
          <w:szCs w:val="24"/>
          <w:vertAlign w:val="superscript"/>
        </w:rPr>
        <w:t>2,3</w:t>
      </w:r>
      <w:r w:rsidRPr="000D0266">
        <w:rPr>
          <w:rFonts w:eastAsia="Calibri"/>
          <w:bCs/>
          <w:color w:val="000000"/>
          <w:szCs w:val="24"/>
        </w:rPr>
        <w:t xml:space="preserve">Muhimbili National Hospital -Mloganzila, </w:t>
      </w:r>
      <w:proofErr w:type="spellStart"/>
      <w:r w:rsidRPr="000D0266">
        <w:rPr>
          <w:rFonts w:eastAsia="Calibri"/>
          <w:bCs/>
          <w:color w:val="000000"/>
          <w:szCs w:val="24"/>
        </w:rPr>
        <w:t>Muhimbili</w:t>
      </w:r>
      <w:proofErr w:type="spellEnd"/>
      <w:r w:rsidRPr="000D0266">
        <w:rPr>
          <w:rFonts w:eastAsia="Calibri"/>
          <w:bCs/>
          <w:color w:val="000000"/>
          <w:szCs w:val="24"/>
        </w:rPr>
        <w:t xml:space="preserve"> University of Health and Allied</w:t>
      </w:r>
    </w:p>
    <w:p w14:paraId="36473F90" w14:textId="77777777" w:rsidR="000D0266" w:rsidRPr="000D0266" w:rsidRDefault="000D0266" w:rsidP="000D0266">
      <w:pPr>
        <w:jc w:val="both"/>
        <w:rPr>
          <w:rFonts w:eastAsia="Calibri"/>
          <w:bCs/>
          <w:i/>
          <w:iCs/>
          <w:color w:val="000000"/>
          <w:szCs w:val="24"/>
        </w:rPr>
      </w:pPr>
    </w:p>
    <w:p w14:paraId="665E4815" w14:textId="77777777" w:rsidR="000D0266" w:rsidRPr="000D0266" w:rsidRDefault="000D0266" w:rsidP="000D0266">
      <w:pPr>
        <w:jc w:val="both"/>
        <w:rPr>
          <w:rFonts w:eastAsia="Calibri"/>
          <w:bCs/>
          <w:color w:val="5B9BD5" w:themeColor="accent1"/>
          <w:szCs w:val="24"/>
        </w:rPr>
      </w:pPr>
      <w:r w:rsidRPr="000D0266">
        <w:rPr>
          <w:rFonts w:eastAsia="Calibri"/>
          <w:b/>
          <w:i/>
          <w:iCs/>
          <w:color w:val="000000"/>
          <w:szCs w:val="24"/>
        </w:rPr>
        <w:lastRenderedPageBreak/>
        <w:t>*</w:t>
      </w:r>
      <w:r w:rsidRPr="000D0266">
        <w:rPr>
          <w:rFonts w:eastAsia="Calibri"/>
          <w:b/>
          <w:color w:val="000000"/>
          <w:szCs w:val="24"/>
        </w:rPr>
        <w:t>Corresponding author Address:</w:t>
      </w:r>
      <w:r w:rsidRPr="000D0266">
        <w:rPr>
          <w:rFonts w:eastAsia="Calibri"/>
          <w:bCs/>
          <w:i/>
          <w:iCs/>
          <w:color w:val="000000"/>
          <w:szCs w:val="24"/>
        </w:rPr>
        <w:t xml:space="preserve"> </w:t>
      </w:r>
      <w:r w:rsidRPr="000D0266">
        <w:rPr>
          <w:rFonts w:eastAsia="Calibri"/>
          <w:bCs/>
          <w:color w:val="000000"/>
          <w:szCs w:val="24"/>
        </w:rPr>
        <w:t xml:space="preserve">Ibrahim Bakari, </w:t>
      </w:r>
      <w:proofErr w:type="spellStart"/>
      <w:r w:rsidRPr="000D0266">
        <w:rPr>
          <w:rFonts w:eastAsia="Calibri"/>
          <w:bCs/>
          <w:color w:val="000000"/>
          <w:szCs w:val="24"/>
        </w:rPr>
        <w:t>Muhimbili</w:t>
      </w:r>
      <w:proofErr w:type="spellEnd"/>
      <w:r w:rsidRPr="000D0266">
        <w:rPr>
          <w:rFonts w:eastAsia="Calibri"/>
          <w:bCs/>
          <w:color w:val="000000"/>
          <w:szCs w:val="24"/>
        </w:rPr>
        <w:t xml:space="preserve"> University of Health and Allied Sciences </w:t>
      </w:r>
      <w:proofErr w:type="gramStart"/>
      <w:r w:rsidRPr="000D0266">
        <w:rPr>
          <w:rFonts w:eastAsia="Calibri"/>
          <w:bCs/>
          <w:color w:val="000000"/>
          <w:szCs w:val="24"/>
        </w:rPr>
        <w:t>Email:</w:t>
      </w:r>
      <w:r w:rsidRPr="000D0266">
        <w:rPr>
          <w:rFonts w:eastAsia="Calibri"/>
          <w:bCs/>
          <w:color w:val="5B9BD5" w:themeColor="accent1"/>
          <w:szCs w:val="24"/>
        </w:rPr>
        <w:t>ibrahimbakaritz@gmail.com</w:t>
      </w:r>
      <w:proofErr w:type="gramEnd"/>
    </w:p>
    <w:p w14:paraId="4A00467D" w14:textId="77777777" w:rsidR="000D0266" w:rsidRPr="000D0266" w:rsidRDefault="000D0266" w:rsidP="000D0266">
      <w:pPr>
        <w:jc w:val="both"/>
        <w:rPr>
          <w:rFonts w:eastAsia="Calibri"/>
          <w:bCs/>
          <w:color w:val="5B9BD5" w:themeColor="accent1"/>
          <w:szCs w:val="24"/>
        </w:rPr>
      </w:pPr>
    </w:p>
    <w:p w14:paraId="079D02BA" w14:textId="5E828189" w:rsidR="000D0266" w:rsidRPr="000D0266" w:rsidRDefault="000D0266" w:rsidP="000D0266">
      <w:pPr>
        <w:jc w:val="both"/>
        <w:rPr>
          <w:rFonts w:eastAsia="Calibri"/>
          <w:bCs/>
          <w:color w:val="000000"/>
          <w:szCs w:val="24"/>
          <w:lang w:val="fr-FR"/>
        </w:rPr>
      </w:pPr>
      <w:r w:rsidRPr="000D0266">
        <w:rPr>
          <w:rFonts w:eastAsia="Calibri"/>
          <w:bCs/>
          <w:szCs w:val="24"/>
          <w:lang w:val="fr-FR"/>
        </w:rPr>
        <w:t>DOI</w:t>
      </w:r>
      <w:r w:rsidRPr="000D0266">
        <w:rPr>
          <w:rFonts w:eastAsia="Calibri"/>
          <w:bCs/>
          <w:color w:val="5B9BD5" w:themeColor="accent1"/>
          <w:szCs w:val="24"/>
          <w:lang w:val="fr-FR"/>
        </w:rPr>
        <w:t xml:space="preserve"> :</w:t>
      </w:r>
      <w:r w:rsidRPr="000D0266">
        <w:rPr>
          <w:lang w:val="fr-FR"/>
        </w:rPr>
        <w:t xml:space="preserve"> </w:t>
      </w:r>
      <w:r w:rsidRPr="000D0266">
        <w:rPr>
          <w:rFonts w:eastAsia="Calibri"/>
          <w:bCs/>
          <w:color w:val="5B9BD5" w:themeColor="accent1"/>
          <w:szCs w:val="24"/>
          <w:lang w:val="fr-FR"/>
        </w:rPr>
        <w:t>https://saudiradiology.com/index.php/home/article/view/298/85</w:t>
      </w:r>
    </w:p>
    <w:p w14:paraId="2D7E60D4" w14:textId="77777777" w:rsidR="000D0266" w:rsidRPr="000D0266" w:rsidRDefault="000D0266" w:rsidP="000D0266">
      <w:pPr>
        <w:jc w:val="both"/>
        <w:rPr>
          <w:rFonts w:eastAsia="Calibri"/>
          <w:bCs/>
          <w:i/>
          <w:iCs/>
          <w:color w:val="000000"/>
          <w:szCs w:val="24"/>
          <w:lang w:val="fr-FR"/>
        </w:rPr>
      </w:pPr>
    </w:p>
    <w:p w14:paraId="3D721A6E" w14:textId="3A5ED1F4" w:rsidR="000D0266" w:rsidRPr="000D0266" w:rsidRDefault="000D0266" w:rsidP="000D0266">
      <w:pPr>
        <w:jc w:val="both"/>
        <w:rPr>
          <w:rFonts w:eastAsia="Calibri"/>
          <w:bCs/>
          <w:color w:val="000000"/>
          <w:szCs w:val="24"/>
        </w:rPr>
      </w:pPr>
      <w:r w:rsidRPr="000D0266">
        <w:rPr>
          <w:rFonts w:eastAsia="Calibri"/>
          <w:b/>
          <w:bCs/>
          <w:color w:val="000000"/>
          <w:szCs w:val="24"/>
        </w:rPr>
        <w:t xml:space="preserve">Background: </w:t>
      </w:r>
      <w:r w:rsidRPr="000D0266">
        <w:rPr>
          <w:rFonts w:eastAsia="Calibri"/>
          <w:bCs/>
          <w:color w:val="000000"/>
          <w:szCs w:val="24"/>
        </w:rPr>
        <w:t xml:space="preserve">Raised   intracranial   </w:t>
      </w:r>
      <w:r w:rsidRPr="000D0266">
        <w:rPr>
          <w:rFonts w:eastAsia="Calibri"/>
          <w:bCs/>
          <w:color w:val="000000"/>
          <w:szCs w:val="24"/>
        </w:rPr>
        <w:t>pressure (ICP) is</w:t>
      </w:r>
      <w:r w:rsidRPr="000D0266">
        <w:rPr>
          <w:rFonts w:eastAsia="Calibri"/>
          <w:bCs/>
          <w:color w:val="000000"/>
          <w:szCs w:val="24"/>
        </w:rPr>
        <w:t xml:space="preserve">   a   life-threatening complication of traumatic brain injury (TBI) in children and demands prompt recognition. Conventional ICP monitoring methods like External Ventricular Drainage, though effective, are invasive and carry procedural risks. Ocular sonography, particularly measurement of the optic nerve sheath diameter (ONSD</w:t>
      </w:r>
      <w:r w:rsidRPr="000D0266">
        <w:rPr>
          <w:rFonts w:eastAsia="Calibri"/>
          <w:bCs/>
          <w:color w:val="000000"/>
          <w:szCs w:val="24"/>
        </w:rPr>
        <w:t>), offers</w:t>
      </w:r>
      <w:r w:rsidRPr="000D0266">
        <w:rPr>
          <w:rFonts w:eastAsia="Calibri"/>
          <w:bCs/>
          <w:color w:val="000000"/>
          <w:szCs w:val="24"/>
        </w:rPr>
        <w:t xml:space="preserve">   a   non-</w:t>
      </w:r>
      <w:r w:rsidRPr="000D0266">
        <w:rPr>
          <w:rFonts w:eastAsia="Calibri"/>
          <w:bCs/>
          <w:color w:val="000000"/>
          <w:szCs w:val="24"/>
        </w:rPr>
        <w:t>invasive, accessible</w:t>
      </w:r>
      <w:r w:rsidRPr="000D0266">
        <w:rPr>
          <w:rFonts w:eastAsia="Calibri"/>
          <w:bCs/>
          <w:color w:val="000000"/>
          <w:szCs w:val="24"/>
        </w:rPr>
        <w:t xml:space="preserve">   alternative   for   early   ICP assessment. However, its utilization in pediatric trauma care remains limited</w:t>
      </w:r>
      <w:r w:rsidRPr="000D0266">
        <w:rPr>
          <w:rFonts w:eastAsia="Calibri"/>
          <w:b/>
          <w:bCs/>
          <w:color w:val="000000"/>
          <w:szCs w:val="24"/>
        </w:rPr>
        <w:t xml:space="preserve">. </w:t>
      </w:r>
      <w:proofErr w:type="spellStart"/>
      <w:proofErr w:type="gramStart"/>
      <w:r w:rsidRPr="000D0266">
        <w:rPr>
          <w:rFonts w:eastAsia="Calibri"/>
          <w:b/>
          <w:bCs/>
          <w:color w:val="000000"/>
          <w:szCs w:val="24"/>
        </w:rPr>
        <w:t>Objective:</w:t>
      </w:r>
      <w:r w:rsidRPr="000D0266">
        <w:rPr>
          <w:rFonts w:eastAsia="Calibri"/>
          <w:bCs/>
          <w:color w:val="000000"/>
          <w:szCs w:val="24"/>
        </w:rPr>
        <w:t>To</w:t>
      </w:r>
      <w:proofErr w:type="spellEnd"/>
      <w:proofErr w:type="gramEnd"/>
      <w:r w:rsidRPr="000D0266">
        <w:rPr>
          <w:rFonts w:eastAsia="Calibri"/>
          <w:bCs/>
          <w:color w:val="000000"/>
          <w:szCs w:val="24"/>
        </w:rPr>
        <w:t xml:space="preserve">  </w:t>
      </w:r>
      <w:r w:rsidRPr="000D0266">
        <w:rPr>
          <w:rFonts w:eastAsia="Calibri"/>
          <w:bCs/>
          <w:color w:val="000000"/>
          <w:szCs w:val="24"/>
        </w:rPr>
        <w:t>determine the Ocular Sonographic patterns and associated</w:t>
      </w:r>
      <w:r w:rsidRPr="000D0266">
        <w:rPr>
          <w:rFonts w:eastAsia="Calibri"/>
          <w:bCs/>
          <w:color w:val="000000"/>
          <w:szCs w:val="24"/>
        </w:rPr>
        <w:t xml:space="preserve"> predictors of raised Intracranial Pressure among pediatric patients with head </w:t>
      </w:r>
      <w:r w:rsidRPr="000D0266">
        <w:rPr>
          <w:rFonts w:eastAsia="Calibri"/>
          <w:bCs/>
          <w:color w:val="000000"/>
          <w:szCs w:val="24"/>
        </w:rPr>
        <w:t xml:space="preserve">injury attending </w:t>
      </w:r>
      <w:proofErr w:type="spellStart"/>
      <w:r w:rsidRPr="000D0266">
        <w:rPr>
          <w:rFonts w:eastAsia="Calibri"/>
          <w:bCs/>
          <w:color w:val="000000"/>
          <w:szCs w:val="24"/>
        </w:rPr>
        <w:t>Muhimbili</w:t>
      </w:r>
      <w:proofErr w:type="spellEnd"/>
      <w:r w:rsidRPr="000D0266">
        <w:rPr>
          <w:rFonts w:eastAsia="Calibri"/>
          <w:bCs/>
          <w:color w:val="000000"/>
          <w:szCs w:val="24"/>
        </w:rPr>
        <w:t xml:space="preserve"> Orthopedic Institute from June 2024 to March</w:t>
      </w:r>
      <w:r w:rsidRPr="000D0266">
        <w:rPr>
          <w:rFonts w:eastAsia="Calibri"/>
          <w:bCs/>
          <w:color w:val="000000"/>
          <w:szCs w:val="24"/>
        </w:rPr>
        <w:t xml:space="preserve"> 2025: </w:t>
      </w:r>
      <w:r w:rsidRPr="000D0266">
        <w:rPr>
          <w:rFonts w:eastAsia="Calibri"/>
          <w:b/>
          <w:bCs/>
          <w:color w:val="000000"/>
          <w:szCs w:val="24"/>
        </w:rPr>
        <w:t xml:space="preserve">Materials and Methods: </w:t>
      </w:r>
      <w:r w:rsidRPr="000D0266">
        <w:rPr>
          <w:rFonts w:eastAsia="Calibri"/>
          <w:bCs/>
          <w:color w:val="000000"/>
          <w:szCs w:val="24"/>
        </w:rPr>
        <w:t xml:space="preserve">A prospective cross-sectional study was conducted </w:t>
      </w:r>
      <w:r w:rsidRPr="000D0266">
        <w:rPr>
          <w:rFonts w:eastAsia="Calibri"/>
          <w:bCs/>
          <w:color w:val="000000"/>
          <w:szCs w:val="24"/>
        </w:rPr>
        <w:t>involving 113 pediatric TBI patients (GCS ≤</w:t>
      </w:r>
      <w:r w:rsidRPr="000D0266">
        <w:rPr>
          <w:rFonts w:eastAsia="Calibri"/>
          <w:bCs/>
          <w:color w:val="000000"/>
          <w:szCs w:val="24"/>
        </w:rPr>
        <w:t>14</w:t>
      </w:r>
      <w:r w:rsidRPr="000D0266">
        <w:rPr>
          <w:rFonts w:eastAsia="Calibri"/>
          <w:bCs/>
          <w:color w:val="000000"/>
          <w:szCs w:val="24"/>
        </w:rPr>
        <w:t>) recruited through</w:t>
      </w:r>
      <w:r w:rsidRPr="000D0266">
        <w:rPr>
          <w:rFonts w:eastAsia="Calibri"/>
          <w:bCs/>
          <w:color w:val="000000"/>
          <w:szCs w:val="24"/>
        </w:rPr>
        <w:t xml:space="preserve"> </w:t>
      </w:r>
      <w:r w:rsidRPr="000D0266">
        <w:rPr>
          <w:rFonts w:eastAsia="Calibri"/>
          <w:bCs/>
          <w:color w:val="000000"/>
          <w:szCs w:val="24"/>
        </w:rPr>
        <w:t>convenience sampling</w:t>
      </w:r>
      <w:r w:rsidRPr="000D0266">
        <w:rPr>
          <w:rFonts w:eastAsia="Calibri"/>
          <w:bCs/>
          <w:color w:val="000000"/>
          <w:szCs w:val="24"/>
        </w:rPr>
        <w:t>.  Clinical data were collected using structured tools. Ocular ultrasound of the right eye was performed using B-mode sonography to measure ONSD 3 mm posterior to the globe. Data analysis was conducted using SPSS v25. Chi-square tests and logistic regression analyses were used to explore associations between clinical features and raised ICP</w:t>
      </w:r>
      <w:r w:rsidRPr="000D0266">
        <w:rPr>
          <w:rFonts w:eastAsia="Calibri"/>
          <w:b/>
          <w:bCs/>
          <w:color w:val="000000"/>
          <w:szCs w:val="24"/>
        </w:rPr>
        <w:t xml:space="preserve">. Results: </w:t>
      </w:r>
      <w:r w:rsidRPr="000D0266">
        <w:rPr>
          <w:rFonts w:eastAsia="Calibri"/>
          <w:bCs/>
          <w:color w:val="000000"/>
          <w:szCs w:val="24"/>
        </w:rPr>
        <w:t xml:space="preserve">Among 113 participants (mean age 8.09 years; 69.9% male), 74.3% had moderate TBI. Ocular sonography revealed optic disc elevation in 6.2% </w:t>
      </w:r>
      <w:r w:rsidRPr="000D0266">
        <w:rPr>
          <w:rFonts w:eastAsia="Calibri"/>
          <w:bCs/>
          <w:color w:val="000000"/>
          <w:szCs w:val="24"/>
        </w:rPr>
        <w:t>of cases; no instances of retinal detachment or vitreous hemorrhage were</w:t>
      </w:r>
      <w:r w:rsidRPr="000D0266">
        <w:rPr>
          <w:rFonts w:eastAsia="Calibri"/>
          <w:bCs/>
          <w:color w:val="000000"/>
          <w:szCs w:val="24"/>
        </w:rPr>
        <w:t xml:space="preserve"> found.  </w:t>
      </w:r>
      <w:r w:rsidRPr="000D0266">
        <w:rPr>
          <w:rFonts w:eastAsia="Calibri"/>
          <w:bCs/>
          <w:color w:val="000000"/>
          <w:szCs w:val="24"/>
        </w:rPr>
        <w:t>Mean ONSD increased with age. Clinical features such as seizures</w:t>
      </w:r>
      <w:r w:rsidRPr="000D0266">
        <w:rPr>
          <w:rFonts w:eastAsia="Calibri"/>
          <w:bCs/>
          <w:color w:val="000000"/>
          <w:szCs w:val="24"/>
        </w:rPr>
        <w:t xml:space="preserve"> (68.1%) and vomiting (61.9%) were common, while hydrocephalus (0.9%) </w:t>
      </w:r>
      <w:r w:rsidRPr="000D0266">
        <w:rPr>
          <w:rFonts w:eastAsia="Calibri"/>
          <w:bCs/>
          <w:color w:val="000000"/>
          <w:szCs w:val="24"/>
        </w:rPr>
        <w:t>and papilledema (</w:t>
      </w:r>
      <w:r w:rsidRPr="000D0266">
        <w:rPr>
          <w:rFonts w:eastAsia="Calibri"/>
          <w:bCs/>
          <w:color w:val="000000"/>
          <w:szCs w:val="24"/>
        </w:rPr>
        <w:t>1.8</w:t>
      </w:r>
      <w:r w:rsidRPr="000D0266">
        <w:rPr>
          <w:rFonts w:eastAsia="Calibri"/>
          <w:bCs/>
          <w:color w:val="000000"/>
          <w:szCs w:val="24"/>
        </w:rPr>
        <w:t>%) were rare</w:t>
      </w:r>
      <w:r w:rsidRPr="000D0266">
        <w:rPr>
          <w:rFonts w:eastAsia="Calibri"/>
          <w:bCs/>
          <w:color w:val="000000"/>
          <w:szCs w:val="24"/>
        </w:rPr>
        <w:t xml:space="preserve">.  </w:t>
      </w:r>
      <w:r w:rsidRPr="000D0266">
        <w:rPr>
          <w:rFonts w:eastAsia="Calibri"/>
          <w:bCs/>
          <w:color w:val="000000"/>
          <w:szCs w:val="24"/>
        </w:rPr>
        <w:t>Lower GCS scores were significantly</w:t>
      </w:r>
      <w:r w:rsidRPr="000D0266">
        <w:rPr>
          <w:rFonts w:eastAsia="Calibri"/>
          <w:bCs/>
          <w:color w:val="000000"/>
          <w:szCs w:val="24"/>
        </w:rPr>
        <w:t xml:space="preserve"> </w:t>
      </w:r>
      <w:r w:rsidRPr="000D0266">
        <w:rPr>
          <w:rFonts w:eastAsia="Calibri"/>
          <w:bCs/>
          <w:color w:val="000000"/>
          <w:szCs w:val="24"/>
        </w:rPr>
        <w:t>associated with suspected raised ICP (p = 0.035), whereas seizures and</w:t>
      </w:r>
      <w:r w:rsidRPr="000D0266">
        <w:rPr>
          <w:rFonts w:eastAsia="Calibri"/>
          <w:bCs/>
          <w:color w:val="000000"/>
          <w:szCs w:val="24"/>
        </w:rPr>
        <w:t xml:space="preserve"> vomiting lost significance in multivariate analysis. </w:t>
      </w:r>
      <w:r w:rsidRPr="000D0266">
        <w:rPr>
          <w:rFonts w:eastAsia="Calibri"/>
          <w:b/>
          <w:bCs/>
          <w:color w:val="000000"/>
          <w:szCs w:val="24"/>
        </w:rPr>
        <w:t xml:space="preserve">Conclusion: </w:t>
      </w:r>
      <w:r w:rsidRPr="000D0266">
        <w:rPr>
          <w:rFonts w:eastAsia="Calibri"/>
          <w:bCs/>
          <w:color w:val="000000"/>
          <w:szCs w:val="24"/>
        </w:rPr>
        <w:t xml:space="preserve">Glasgow Coma Scale score is a significant predictor of raised Saudi Journal of Radiology ICP in pediatric head injury patients. The absence of papilledema and other </w:t>
      </w:r>
      <w:r w:rsidRPr="000D0266">
        <w:rPr>
          <w:rFonts w:eastAsia="Calibri"/>
          <w:bCs/>
          <w:color w:val="000000"/>
          <w:szCs w:val="24"/>
        </w:rPr>
        <w:t>ocular sonographic patterns does not exclude raised ICP, supporting the</w:t>
      </w:r>
      <w:r w:rsidRPr="000D0266">
        <w:rPr>
          <w:rFonts w:eastAsia="Calibri"/>
          <w:bCs/>
          <w:color w:val="000000"/>
          <w:szCs w:val="24"/>
        </w:rPr>
        <w:t xml:space="preserve"> </w:t>
      </w:r>
      <w:r w:rsidRPr="000D0266">
        <w:rPr>
          <w:rFonts w:eastAsia="Calibri"/>
          <w:bCs/>
          <w:color w:val="000000"/>
          <w:szCs w:val="24"/>
        </w:rPr>
        <w:t>utility of ONSD measurement as a rapid, non</w:t>
      </w:r>
      <w:r w:rsidRPr="000D0266">
        <w:rPr>
          <w:rFonts w:eastAsia="Calibri"/>
          <w:bCs/>
          <w:color w:val="000000"/>
          <w:szCs w:val="24"/>
        </w:rPr>
        <w:t>-</w:t>
      </w:r>
      <w:r w:rsidRPr="000D0266">
        <w:rPr>
          <w:rFonts w:eastAsia="Calibri"/>
          <w:bCs/>
          <w:color w:val="000000"/>
          <w:szCs w:val="24"/>
        </w:rPr>
        <w:t>invasive screening tool for</w:t>
      </w:r>
      <w:r w:rsidRPr="000D0266">
        <w:rPr>
          <w:rFonts w:eastAsia="Calibri"/>
          <w:bCs/>
          <w:color w:val="000000"/>
          <w:szCs w:val="24"/>
        </w:rPr>
        <w:t xml:space="preserve"> early ICP assessment in resource-limited settings.</w:t>
      </w:r>
    </w:p>
    <w:p w14:paraId="5D6CD25D" w14:textId="77777777" w:rsidR="000D0266" w:rsidRPr="000D0266" w:rsidRDefault="000D0266" w:rsidP="000D0266">
      <w:pPr>
        <w:jc w:val="both"/>
        <w:rPr>
          <w:rFonts w:eastAsia="Calibri"/>
          <w:bCs/>
          <w:color w:val="000000"/>
          <w:szCs w:val="24"/>
        </w:rPr>
      </w:pPr>
      <w:r w:rsidRPr="000D0266">
        <w:rPr>
          <w:rFonts w:eastAsia="Calibri"/>
          <w:b/>
          <w:bCs/>
          <w:color w:val="000000"/>
          <w:szCs w:val="24"/>
        </w:rPr>
        <w:t>Keywords</w:t>
      </w:r>
      <w:r w:rsidRPr="000D0266">
        <w:rPr>
          <w:rFonts w:eastAsia="Calibri"/>
          <w:bCs/>
          <w:color w:val="000000"/>
          <w:szCs w:val="24"/>
        </w:rPr>
        <w:t xml:space="preserve">: Ocular Sonographic Patterns, Intracranial Pressure, </w:t>
      </w:r>
      <w:proofErr w:type="spellStart"/>
      <w:r w:rsidRPr="000D0266">
        <w:rPr>
          <w:rFonts w:eastAsia="Calibri"/>
          <w:bCs/>
          <w:color w:val="000000"/>
          <w:szCs w:val="24"/>
        </w:rPr>
        <w:t>Paediatric</w:t>
      </w:r>
      <w:proofErr w:type="spellEnd"/>
      <w:r w:rsidRPr="000D0266">
        <w:rPr>
          <w:rFonts w:eastAsia="Calibri"/>
          <w:bCs/>
          <w:color w:val="000000"/>
          <w:szCs w:val="24"/>
        </w:rPr>
        <w:t xml:space="preserve"> Patients, Head Injury, </w:t>
      </w:r>
      <w:proofErr w:type="spellStart"/>
      <w:r w:rsidRPr="000D0266">
        <w:rPr>
          <w:rFonts w:eastAsia="Calibri"/>
          <w:bCs/>
          <w:color w:val="000000"/>
          <w:szCs w:val="24"/>
        </w:rPr>
        <w:t>Muhimbili</w:t>
      </w:r>
      <w:proofErr w:type="spellEnd"/>
      <w:r w:rsidRPr="000D0266">
        <w:rPr>
          <w:rFonts w:eastAsia="Calibri"/>
          <w:bCs/>
          <w:color w:val="000000"/>
          <w:szCs w:val="24"/>
        </w:rPr>
        <w:t xml:space="preserve"> </w:t>
      </w:r>
      <w:proofErr w:type="spellStart"/>
      <w:r w:rsidRPr="000D0266">
        <w:rPr>
          <w:rFonts w:eastAsia="Calibri"/>
          <w:bCs/>
          <w:color w:val="000000"/>
          <w:szCs w:val="24"/>
        </w:rPr>
        <w:t>Orthopaedic</w:t>
      </w:r>
      <w:proofErr w:type="spellEnd"/>
      <w:r w:rsidRPr="000D0266">
        <w:rPr>
          <w:rFonts w:eastAsia="Calibri"/>
          <w:bCs/>
          <w:color w:val="000000"/>
          <w:szCs w:val="24"/>
        </w:rPr>
        <w:t xml:space="preserve"> Institute.</w:t>
      </w:r>
    </w:p>
    <w:p w14:paraId="32CF22E9" w14:textId="77777777" w:rsidR="000D0266" w:rsidRPr="000D0266" w:rsidRDefault="000D0266" w:rsidP="000D0266">
      <w:pPr>
        <w:jc w:val="both"/>
        <w:rPr>
          <w:rFonts w:eastAsia="Calibri"/>
          <w:bCs/>
          <w:color w:val="000000"/>
          <w:szCs w:val="24"/>
        </w:rPr>
      </w:pPr>
    </w:p>
    <w:p w14:paraId="4F7B186A" w14:textId="77777777" w:rsidR="000D0266" w:rsidRPr="000D0266" w:rsidRDefault="000D0266" w:rsidP="000D0266">
      <w:pPr>
        <w:jc w:val="both"/>
        <w:rPr>
          <w:rFonts w:eastAsia="Calibri"/>
          <w:bCs/>
          <w:color w:val="000000"/>
          <w:szCs w:val="24"/>
        </w:rPr>
      </w:pPr>
    </w:p>
    <w:p w14:paraId="75C43A78" w14:textId="77777777" w:rsidR="00245B05" w:rsidRPr="00245B05" w:rsidRDefault="00245B05" w:rsidP="00245B05">
      <w:pPr>
        <w:spacing w:line="276" w:lineRule="auto"/>
        <w:jc w:val="center"/>
        <w:rPr>
          <w:b/>
          <w:sz w:val="28"/>
          <w:szCs w:val="28"/>
        </w:rPr>
      </w:pPr>
      <w:r w:rsidRPr="00245B05">
        <w:rPr>
          <w:b/>
          <w:sz w:val="28"/>
          <w:szCs w:val="28"/>
        </w:rPr>
        <w:t xml:space="preserve">Rapid progression of gallbladder cancer from stage I to stage IV in 4-months: A case </w:t>
      </w:r>
    </w:p>
    <w:p w14:paraId="040404A9" w14:textId="77777777" w:rsidR="00245B05" w:rsidRPr="00245B05" w:rsidRDefault="00245B05" w:rsidP="00245B05">
      <w:pPr>
        <w:spacing w:line="276" w:lineRule="auto"/>
        <w:jc w:val="center"/>
        <w:rPr>
          <w:b/>
          <w:sz w:val="28"/>
          <w:szCs w:val="28"/>
        </w:rPr>
      </w:pPr>
      <w:r w:rsidRPr="00245B05">
        <w:rPr>
          <w:b/>
          <w:sz w:val="28"/>
          <w:szCs w:val="28"/>
        </w:rPr>
        <w:t>highlighting the critical need for timely intervention”</w:t>
      </w:r>
    </w:p>
    <w:p w14:paraId="29336CA3" w14:textId="77777777" w:rsidR="00245B05" w:rsidRPr="00245B05" w:rsidRDefault="00245B05" w:rsidP="00245B05">
      <w:pPr>
        <w:spacing w:line="276" w:lineRule="auto"/>
        <w:jc w:val="both"/>
      </w:pPr>
    </w:p>
    <w:p w14:paraId="34DB6742" w14:textId="77777777" w:rsidR="00245B05" w:rsidRPr="00245B05" w:rsidRDefault="00245B05" w:rsidP="00245B05">
      <w:pPr>
        <w:spacing w:line="276" w:lineRule="auto"/>
        <w:jc w:val="both"/>
      </w:pPr>
      <w:r w:rsidRPr="00245B05">
        <w:t xml:space="preserve">Victor Mhezi, MD, </w:t>
      </w:r>
      <w:proofErr w:type="spellStart"/>
      <w:proofErr w:type="gramStart"/>
      <w:r w:rsidRPr="00245B05">
        <w:t>MMeda</w:t>
      </w:r>
      <w:proofErr w:type="spellEnd"/>
      <w:r w:rsidRPr="00245B05">
        <w:t>,</w:t>
      </w:r>
      <w:r w:rsidRPr="00245B05">
        <w:rPr>
          <w:rFonts w:ascii="Cambria Math" w:hAnsi="Cambria Math" w:cs="Cambria Math"/>
        </w:rPr>
        <w:t>∗</w:t>
      </w:r>
      <w:proofErr w:type="gramEnd"/>
      <w:r w:rsidRPr="00245B05">
        <w:t xml:space="preserve"> , Hassan Lumbe, MD, </w:t>
      </w:r>
      <w:proofErr w:type="spellStart"/>
      <w:r w:rsidRPr="00245B05">
        <w:t>MMed</w:t>
      </w:r>
      <w:proofErr w:type="spellEnd"/>
      <w:r w:rsidRPr="00245B05">
        <w:t xml:space="preserve"> </w:t>
      </w:r>
      <w:proofErr w:type="gramStart"/>
      <w:r w:rsidRPr="00245B05">
        <w:rPr>
          <w:vertAlign w:val="superscript"/>
        </w:rPr>
        <w:t>b</w:t>
      </w:r>
      <w:r w:rsidRPr="00245B05">
        <w:t xml:space="preserve"> ,</w:t>
      </w:r>
      <w:proofErr w:type="gramEnd"/>
      <w:r w:rsidRPr="00245B05">
        <w:t xml:space="preserve"> Godfrey Malangwa, MD, </w:t>
      </w:r>
      <w:proofErr w:type="spellStart"/>
      <w:r w:rsidRPr="00245B05">
        <w:t>MMed</w:t>
      </w:r>
      <w:proofErr w:type="spellEnd"/>
      <w:r w:rsidRPr="00245B05">
        <w:t xml:space="preserve"> </w:t>
      </w:r>
      <w:proofErr w:type="gramStart"/>
      <w:r w:rsidRPr="00245B05">
        <w:rPr>
          <w:vertAlign w:val="superscript"/>
        </w:rPr>
        <w:t>c</w:t>
      </w:r>
      <w:r w:rsidRPr="00245B05">
        <w:t xml:space="preserve"> ,</w:t>
      </w:r>
      <w:proofErr w:type="gramEnd"/>
      <w:r w:rsidRPr="00245B05">
        <w:t xml:space="preserve"> Maurus Ndomba, AMO, Rad </w:t>
      </w:r>
      <w:proofErr w:type="gramStart"/>
      <w:r w:rsidRPr="00245B05">
        <w:rPr>
          <w:vertAlign w:val="superscript"/>
        </w:rPr>
        <w:t xml:space="preserve">a </w:t>
      </w:r>
      <w:r w:rsidRPr="00245B05">
        <w:t>,</w:t>
      </w:r>
      <w:proofErr w:type="gramEnd"/>
      <w:r w:rsidRPr="00245B05">
        <w:t xml:space="preserve"> </w:t>
      </w:r>
      <w:proofErr w:type="spellStart"/>
      <w:r w:rsidRPr="00245B05">
        <w:t>Lincleth</w:t>
      </w:r>
      <w:proofErr w:type="spellEnd"/>
      <w:r w:rsidRPr="00245B05">
        <w:t xml:space="preserve"> Gingo, Rad </w:t>
      </w:r>
      <w:proofErr w:type="gramStart"/>
      <w:r w:rsidRPr="00245B05">
        <w:rPr>
          <w:vertAlign w:val="superscript"/>
        </w:rPr>
        <w:t>a</w:t>
      </w:r>
      <w:r w:rsidRPr="00245B05">
        <w:t xml:space="preserve"> ,</w:t>
      </w:r>
      <w:proofErr w:type="gramEnd"/>
      <w:r w:rsidRPr="00245B05">
        <w:t xml:space="preserve"> Rehem</w:t>
      </w:r>
    </w:p>
    <w:p w14:paraId="601511BC" w14:textId="77777777" w:rsidR="00245B05" w:rsidRPr="00245B05" w:rsidRDefault="00245B05" w:rsidP="00245B05">
      <w:pPr>
        <w:spacing w:line="276" w:lineRule="auto"/>
        <w:jc w:val="both"/>
      </w:pPr>
      <w:r w:rsidRPr="00245B05">
        <w:t xml:space="preserve">a Simba, Rad </w:t>
      </w:r>
      <w:proofErr w:type="gramStart"/>
      <w:r w:rsidRPr="00245B05">
        <w:rPr>
          <w:vertAlign w:val="superscript"/>
        </w:rPr>
        <w:t>a</w:t>
      </w:r>
      <w:r w:rsidRPr="00245B05">
        <w:t xml:space="preserve"> ,</w:t>
      </w:r>
      <w:proofErr w:type="gramEnd"/>
      <w:r w:rsidRPr="00245B05">
        <w:t xml:space="preserve"> Moza Chitta, Rad </w:t>
      </w:r>
      <w:r w:rsidRPr="00245B05">
        <w:rPr>
          <w:vertAlign w:val="superscript"/>
        </w:rPr>
        <w:t>a</w:t>
      </w:r>
      <w:r w:rsidRPr="00245B05">
        <w:t xml:space="preserve"> </w:t>
      </w:r>
    </w:p>
    <w:p w14:paraId="2356536F" w14:textId="77777777" w:rsidR="00245B05" w:rsidRPr="00245B05" w:rsidRDefault="00245B05" w:rsidP="00245B05">
      <w:pPr>
        <w:spacing w:line="276" w:lineRule="auto"/>
        <w:jc w:val="both"/>
      </w:pPr>
    </w:p>
    <w:p w14:paraId="41CB7FA6" w14:textId="77777777" w:rsidR="00245B05" w:rsidRPr="00245B05" w:rsidRDefault="00245B05" w:rsidP="00245B05">
      <w:pPr>
        <w:spacing w:line="276" w:lineRule="auto"/>
        <w:jc w:val="both"/>
      </w:pPr>
      <w:r w:rsidRPr="00245B05">
        <w:t xml:space="preserve">a Department of Radiology and Imaging, </w:t>
      </w:r>
      <w:proofErr w:type="spellStart"/>
      <w:r w:rsidRPr="00245B05">
        <w:t>Songea</w:t>
      </w:r>
      <w:proofErr w:type="spellEnd"/>
      <w:r w:rsidRPr="00245B05">
        <w:t xml:space="preserve"> Regional Referral Hospital, P.O Box 05, Ruvuma, Tanzania b Department of Surgery, </w:t>
      </w:r>
      <w:proofErr w:type="spellStart"/>
      <w:r w:rsidRPr="00245B05">
        <w:t>Songea</w:t>
      </w:r>
      <w:proofErr w:type="spellEnd"/>
      <w:r w:rsidRPr="00245B05">
        <w:t xml:space="preserve"> Regional Referral Hospital, P.O Box 05, Ruvuma, Tanzania </w:t>
      </w:r>
    </w:p>
    <w:p w14:paraId="36ECD13B" w14:textId="77777777" w:rsidR="00245B05" w:rsidRPr="00245B05" w:rsidRDefault="00245B05" w:rsidP="00245B05">
      <w:pPr>
        <w:spacing w:line="276" w:lineRule="auto"/>
        <w:jc w:val="both"/>
      </w:pPr>
      <w:r w:rsidRPr="00245B05">
        <w:lastRenderedPageBreak/>
        <w:t xml:space="preserve">c Department of Oncology, </w:t>
      </w:r>
      <w:proofErr w:type="spellStart"/>
      <w:r w:rsidRPr="00245B05">
        <w:t>Muhimbili</w:t>
      </w:r>
      <w:proofErr w:type="spellEnd"/>
      <w:r w:rsidRPr="00245B05">
        <w:t xml:space="preserve"> National Hospital - Mloganzila, P.O Box 65000, Dar-es-Salaam, Tanzania </w:t>
      </w:r>
    </w:p>
    <w:p w14:paraId="36239AAD" w14:textId="77777777" w:rsidR="00245B05" w:rsidRPr="00245B05" w:rsidRDefault="00245B05" w:rsidP="00245B05">
      <w:pPr>
        <w:spacing w:line="276" w:lineRule="auto"/>
        <w:jc w:val="both"/>
      </w:pPr>
    </w:p>
    <w:p w14:paraId="0EF1BB50" w14:textId="77777777" w:rsidR="00245B05" w:rsidRPr="00245B05" w:rsidRDefault="00245B05" w:rsidP="00245B05">
      <w:pPr>
        <w:spacing w:line="276" w:lineRule="auto"/>
        <w:jc w:val="both"/>
        <w:rPr>
          <w:b/>
        </w:rPr>
      </w:pPr>
      <w:r w:rsidRPr="00245B05">
        <w:rPr>
          <w:b/>
        </w:rPr>
        <w:t xml:space="preserve">A B S T R A C T </w:t>
      </w:r>
    </w:p>
    <w:p w14:paraId="6AABA515" w14:textId="77777777" w:rsidR="00245B05" w:rsidRPr="00245B05" w:rsidRDefault="00245B05" w:rsidP="00245B05">
      <w:pPr>
        <w:spacing w:line="276" w:lineRule="auto"/>
        <w:jc w:val="both"/>
      </w:pPr>
    </w:p>
    <w:p w14:paraId="0EC356EB" w14:textId="50BA1455" w:rsidR="00245B05" w:rsidRPr="00245B05" w:rsidRDefault="00245B05" w:rsidP="00245B05">
      <w:pPr>
        <w:spacing w:line="276" w:lineRule="auto"/>
        <w:jc w:val="both"/>
      </w:pPr>
      <w:r w:rsidRPr="00245B05">
        <w:t xml:space="preserve">Gallbladder cancer is the most common biliary tract malignancy, primarily affects older women and strongly associated with cholelithiasis. Early detection is critical, as prognosis worsens significantly with disease progression. This case involves a 68-year-old male, who presented with abdominal pain, jaundice, and cachexia. Imaging initially revealed a stage I gallbladder cancer with associated cholelithiasis. Despite recommendations for prompt surgical, histopathological and oncological referral, patient’s socioeconomic barriers delayed intervention. Within 4 months, the cancer progressed to stage IV, with direct invasion of the liver and duodenum, vascular thrombosis, and metastatic lymphadenopathy, ultimately leading to the patient’s death. This case highlights the devastating impact of delayed care for gallbladder cancer, underscoring the need for improved access to early diagnosis, timely referrals, strengthening specialized medical services at regional level and coordinated multidisciplinary management of aggressive malignancies. </w:t>
      </w:r>
    </w:p>
    <w:p w14:paraId="4B3FFD7A" w14:textId="77777777" w:rsidR="00245B05" w:rsidRPr="00245B05" w:rsidRDefault="00245B05" w:rsidP="00245B05">
      <w:pPr>
        <w:spacing w:line="276" w:lineRule="auto"/>
        <w:jc w:val="both"/>
      </w:pPr>
      <w:r w:rsidRPr="00245B05">
        <w:rPr>
          <w:b/>
        </w:rPr>
        <w:t>Keywords:</w:t>
      </w:r>
      <w:r w:rsidRPr="00245B05">
        <w:t xml:space="preserve"> Gallbladder cancer Adenocarcinoma TNM staging Cholelithiasis Radical cholecystectomy Computed tomography</w:t>
      </w:r>
    </w:p>
    <w:p w14:paraId="70EC1FB0" w14:textId="77777777" w:rsidR="00245B05" w:rsidRPr="00245B05" w:rsidRDefault="00245B05" w:rsidP="00245B05">
      <w:pPr>
        <w:spacing w:line="276" w:lineRule="auto"/>
        <w:jc w:val="both"/>
        <w:rPr>
          <w:b/>
          <w:szCs w:val="24"/>
        </w:rPr>
      </w:pPr>
    </w:p>
    <w:p w14:paraId="3F5F1839" w14:textId="77777777" w:rsidR="00704152" w:rsidRPr="00704152" w:rsidRDefault="00704152" w:rsidP="00704152">
      <w:pPr>
        <w:spacing w:line="276" w:lineRule="auto"/>
        <w:jc w:val="center"/>
        <w:rPr>
          <w:b/>
          <w:sz w:val="28"/>
          <w:szCs w:val="28"/>
        </w:rPr>
      </w:pPr>
      <w:r w:rsidRPr="00704152">
        <w:rPr>
          <w:b/>
          <w:sz w:val="28"/>
          <w:szCs w:val="28"/>
        </w:rPr>
        <w:t>Characteristics and Impact of p16 Expression in Patients with Oropharyngeal Squamous Cell Carcinoma in Tanzania</w:t>
      </w:r>
    </w:p>
    <w:p w14:paraId="3E3120BE" w14:textId="77777777" w:rsidR="00704152" w:rsidRPr="00704152" w:rsidRDefault="00704152" w:rsidP="00704152">
      <w:pPr>
        <w:spacing w:line="276" w:lineRule="auto"/>
        <w:jc w:val="center"/>
        <w:rPr>
          <w:b/>
          <w:sz w:val="16"/>
          <w:szCs w:val="16"/>
        </w:rPr>
      </w:pPr>
    </w:p>
    <w:p w14:paraId="7DC1F149" w14:textId="77777777" w:rsidR="00704152" w:rsidRPr="00704152" w:rsidRDefault="00704152" w:rsidP="00704152">
      <w:pPr>
        <w:spacing w:line="276" w:lineRule="auto"/>
        <w:jc w:val="both"/>
      </w:pPr>
      <w:r w:rsidRPr="00704152">
        <w:t xml:space="preserve">Godwin Nnko, MD1,2,3 ; Saloni Patel, BSc4 ; </w:t>
      </w:r>
      <w:proofErr w:type="spellStart"/>
      <w:r w:rsidRPr="00704152">
        <w:t>Eulade</w:t>
      </w:r>
      <w:proofErr w:type="spellEnd"/>
      <w:r w:rsidRPr="00704152">
        <w:t xml:space="preserve"> </w:t>
      </w:r>
      <w:proofErr w:type="spellStart"/>
      <w:r w:rsidRPr="00704152">
        <w:t>Rugengamanzi</w:t>
      </w:r>
      <w:proofErr w:type="spellEnd"/>
      <w:r w:rsidRPr="00704152">
        <w:t xml:space="preserve">, MD2,3,5,6 ; </w:t>
      </w:r>
      <w:proofErr w:type="spellStart"/>
      <w:r w:rsidRPr="00704152">
        <w:t>Shafii</w:t>
      </w:r>
      <w:proofErr w:type="spellEnd"/>
      <w:r w:rsidRPr="00704152">
        <w:t xml:space="preserve"> S. Ramadhani, MD7 ; Dammy A. </w:t>
      </w:r>
      <w:proofErr w:type="spellStart"/>
      <w:r w:rsidRPr="00704152">
        <w:t>Shimbo</w:t>
      </w:r>
      <w:proofErr w:type="spellEnd"/>
      <w:r w:rsidRPr="00704152">
        <w:t xml:space="preserve">, MD8 ; Mathias Banzi, MD2,3,9 ; Godfrey Malangwa, MD2,3,10 ; </w:t>
      </w:r>
      <w:proofErr w:type="spellStart"/>
      <w:r w:rsidRPr="00704152">
        <w:t>Getruda</w:t>
      </w:r>
      <w:proofErr w:type="spellEnd"/>
      <w:r w:rsidRPr="00704152">
        <w:t xml:space="preserve"> </w:t>
      </w:r>
      <w:proofErr w:type="spellStart"/>
      <w:r w:rsidRPr="00704152">
        <w:t>Mashashi</w:t>
      </w:r>
      <w:proofErr w:type="spellEnd"/>
      <w:r w:rsidRPr="00704152">
        <w:t xml:space="preserve">, MD2,3,11; Glory </w:t>
      </w:r>
      <w:proofErr w:type="spellStart"/>
      <w:r w:rsidRPr="00704152">
        <w:t>Makupa</w:t>
      </w:r>
      <w:proofErr w:type="spellEnd"/>
      <w:r w:rsidRPr="00704152">
        <w:t xml:space="preserve">, MD1,2,3 ; </w:t>
      </w:r>
      <w:proofErr w:type="spellStart"/>
      <w:r w:rsidRPr="00704152">
        <w:t>Milpah</w:t>
      </w:r>
      <w:proofErr w:type="spellEnd"/>
      <w:r w:rsidRPr="00704152">
        <w:t xml:space="preserve"> Moturi, MD2,3,12; Leila </w:t>
      </w:r>
      <w:proofErr w:type="spellStart"/>
      <w:r w:rsidRPr="00704152">
        <w:t>Mwakipunda</w:t>
      </w:r>
      <w:proofErr w:type="spellEnd"/>
      <w:r w:rsidRPr="00704152">
        <w:t xml:space="preserve">, MD1,2,3 ; Jesse Jonathan, MD2,3,13 ; Aisha Ramadhani, MD2,3; </w:t>
      </w:r>
      <w:proofErr w:type="spellStart"/>
      <w:r w:rsidRPr="00704152">
        <w:t>Mwitasrobert</w:t>
      </w:r>
      <w:proofErr w:type="spellEnd"/>
      <w:r w:rsidRPr="00704152">
        <w:t xml:space="preserve"> Gisiri, MD2,3,11; </w:t>
      </w:r>
      <w:proofErr w:type="spellStart"/>
      <w:r w:rsidRPr="00704152">
        <w:t>Cepheline</w:t>
      </w:r>
      <w:proofErr w:type="spellEnd"/>
      <w:r w:rsidRPr="00704152">
        <w:t xml:space="preserve"> Idrissa, MD2,3,11 ; Nur Antar Mabruk, MD2,3 ;</w:t>
      </w:r>
    </w:p>
    <w:p w14:paraId="14527CAD" w14:textId="77777777" w:rsidR="00704152" w:rsidRPr="00704152" w:rsidRDefault="00704152" w:rsidP="00704152">
      <w:pPr>
        <w:spacing w:line="276" w:lineRule="auto"/>
        <w:jc w:val="both"/>
      </w:pPr>
    </w:p>
    <w:p w14:paraId="3B85B5C4" w14:textId="77777777" w:rsidR="00704152" w:rsidRPr="00704152" w:rsidRDefault="00704152" w:rsidP="00704152">
      <w:pPr>
        <w:spacing w:line="360" w:lineRule="auto"/>
        <w:jc w:val="both"/>
      </w:pPr>
      <w:r w:rsidRPr="00704152">
        <w:t>1Cancer Care Center, Kilimanjaro Christian Medical Centre, Moshi, Tanzania.</w:t>
      </w:r>
    </w:p>
    <w:p w14:paraId="139AED88" w14:textId="77777777" w:rsidR="00704152" w:rsidRPr="00704152" w:rsidRDefault="00704152" w:rsidP="00704152">
      <w:pPr>
        <w:spacing w:line="360" w:lineRule="auto"/>
        <w:jc w:val="both"/>
      </w:pPr>
      <w:r w:rsidRPr="00704152">
        <w:t>2Academic, Research, and Consultancy Unit, Ocean Road Cancer Institute, Dar es Salaam, Tanzania.</w:t>
      </w:r>
    </w:p>
    <w:p w14:paraId="39973F44" w14:textId="77777777" w:rsidR="00704152" w:rsidRPr="00704152" w:rsidRDefault="00704152" w:rsidP="00704152">
      <w:pPr>
        <w:spacing w:line="360" w:lineRule="auto"/>
        <w:jc w:val="both"/>
      </w:pPr>
      <w:r w:rsidRPr="00704152">
        <w:t xml:space="preserve">3Department of Clinical Oncology, </w:t>
      </w:r>
      <w:proofErr w:type="spellStart"/>
      <w:r w:rsidRPr="00704152">
        <w:t>Muhimbili</w:t>
      </w:r>
      <w:proofErr w:type="spellEnd"/>
      <w:r w:rsidRPr="00704152">
        <w:t xml:space="preserve"> University of Health and Allied Sciences, Dar es Salaam, </w:t>
      </w:r>
      <w:proofErr w:type="spellStart"/>
      <w:r w:rsidRPr="00704152">
        <w:t>Tz</w:t>
      </w:r>
      <w:proofErr w:type="spellEnd"/>
    </w:p>
    <w:p w14:paraId="7A62EAC4" w14:textId="77777777" w:rsidR="00704152" w:rsidRPr="00704152" w:rsidRDefault="00704152" w:rsidP="00704152">
      <w:pPr>
        <w:spacing w:line="360" w:lineRule="auto"/>
        <w:jc w:val="both"/>
      </w:pPr>
      <w:r w:rsidRPr="00704152">
        <w:t>4Johns Hopkins University School of Medicine, Baltimore, MD.</w:t>
      </w:r>
    </w:p>
    <w:p w14:paraId="3FD563F4" w14:textId="77777777" w:rsidR="00704152" w:rsidRPr="00704152" w:rsidRDefault="00704152" w:rsidP="00704152">
      <w:pPr>
        <w:spacing w:line="360" w:lineRule="auto"/>
        <w:jc w:val="both"/>
      </w:pPr>
      <w:r w:rsidRPr="00704152">
        <w:t xml:space="preserve">5Department of Oncology, the </w:t>
      </w:r>
      <w:proofErr w:type="spellStart"/>
      <w:r w:rsidRPr="00704152">
        <w:t>Butaro</w:t>
      </w:r>
      <w:proofErr w:type="spellEnd"/>
      <w:r w:rsidRPr="00704152">
        <w:t xml:space="preserve"> Cancer Center of Excellence, </w:t>
      </w:r>
      <w:proofErr w:type="spellStart"/>
      <w:r w:rsidRPr="00704152">
        <w:t>Butaro</w:t>
      </w:r>
      <w:proofErr w:type="spellEnd"/>
      <w:r w:rsidRPr="00704152">
        <w:t>, Rwanda.</w:t>
      </w:r>
    </w:p>
    <w:p w14:paraId="78686021" w14:textId="77777777" w:rsidR="00704152" w:rsidRPr="00704152" w:rsidRDefault="00704152" w:rsidP="00704152">
      <w:pPr>
        <w:spacing w:line="360" w:lineRule="auto"/>
        <w:jc w:val="both"/>
      </w:pPr>
      <w:r w:rsidRPr="00704152">
        <w:t xml:space="preserve">6Clinical Division, Medical School, University of Global Health Equity (UGHE), </w:t>
      </w:r>
      <w:proofErr w:type="spellStart"/>
      <w:r w:rsidRPr="00704152">
        <w:t>Butaro</w:t>
      </w:r>
      <w:proofErr w:type="spellEnd"/>
      <w:r w:rsidRPr="00704152">
        <w:t>, Tanzania.</w:t>
      </w:r>
    </w:p>
    <w:p w14:paraId="573CBFAF" w14:textId="77777777" w:rsidR="00704152" w:rsidRPr="00704152" w:rsidRDefault="00704152" w:rsidP="00704152">
      <w:pPr>
        <w:spacing w:line="360" w:lineRule="auto"/>
        <w:jc w:val="both"/>
      </w:pPr>
      <w:r w:rsidRPr="00704152">
        <w:t xml:space="preserve">7Department of Pathology, </w:t>
      </w:r>
      <w:proofErr w:type="spellStart"/>
      <w:r w:rsidRPr="00704152">
        <w:t>Muhimbili</w:t>
      </w:r>
      <w:proofErr w:type="spellEnd"/>
      <w:r w:rsidRPr="00704152">
        <w:t xml:space="preserve"> University of Health and Allied Sciences, Dar es Salaam, Tanzania.</w:t>
      </w:r>
    </w:p>
    <w:p w14:paraId="5092736A" w14:textId="77777777" w:rsidR="00704152" w:rsidRPr="00704152" w:rsidRDefault="00704152" w:rsidP="00704152">
      <w:pPr>
        <w:spacing w:line="360" w:lineRule="auto"/>
        <w:jc w:val="both"/>
      </w:pPr>
      <w:r w:rsidRPr="00704152">
        <w:lastRenderedPageBreak/>
        <w:t xml:space="preserve">8Department of Pathology, </w:t>
      </w:r>
      <w:proofErr w:type="spellStart"/>
      <w:r w:rsidRPr="00704152">
        <w:t>Muhimbili</w:t>
      </w:r>
      <w:proofErr w:type="spellEnd"/>
      <w:r w:rsidRPr="00704152">
        <w:t xml:space="preserve"> National Hospital, Dar es Salaam, Tanzania.</w:t>
      </w:r>
    </w:p>
    <w:p w14:paraId="1D62975B" w14:textId="77777777" w:rsidR="00704152" w:rsidRPr="00704152" w:rsidRDefault="00704152" w:rsidP="00704152">
      <w:pPr>
        <w:spacing w:line="360" w:lineRule="auto"/>
        <w:jc w:val="both"/>
      </w:pPr>
      <w:r w:rsidRPr="00704152">
        <w:t>9Department of Oncology, Mbeya Zonal Referral Hospital, Mbeya, Tanzania.</w:t>
      </w:r>
    </w:p>
    <w:p w14:paraId="6A553C79" w14:textId="77777777" w:rsidR="00704152" w:rsidRPr="00704152" w:rsidRDefault="00704152" w:rsidP="00704152">
      <w:pPr>
        <w:spacing w:line="360" w:lineRule="auto"/>
        <w:jc w:val="both"/>
      </w:pPr>
      <w:r w:rsidRPr="00704152">
        <w:t xml:space="preserve">10Department of Oncology, </w:t>
      </w:r>
      <w:proofErr w:type="spellStart"/>
      <w:r w:rsidRPr="00704152">
        <w:t>Muhimbili</w:t>
      </w:r>
      <w:proofErr w:type="spellEnd"/>
      <w:r w:rsidRPr="00704152">
        <w:t xml:space="preserve"> National Hospital, Mloganzila, Tanzania.</w:t>
      </w:r>
    </w:p>
    <w:p w14:paraId="62FDD38F" w14:textId="77777777" w:rsidR="00704152" w:rsidRPr="00704152" w:rsidRDefault="00704152" w:rsidP="00704152">
      <w:pPr>
        <w:spacing w:line="360" w:lineRule="auto"/>
        <w:jc w:val="both"/>
      </w:pPr>
      <w:r w:rsidRPr="00704152">
        <w:t xml:space="preserve">11Department of Oncology, </w:t>
      </w:r>
      <w:proofErr w:type="spellStart"/>
      <w:r w:rsidRPr="00704152">
        <w:t>Bugando</w:t>
      </w:r>
      <w:proofErr w:type="spellEnd"/>
      <w:r w:rsidRPr="00704152">
        <w:t xml:space="preserve"> Medical Centre, Mwanza, Tanzania.</w:t>
      </w:r>
    </w:p>
    <w:p w14:paraId="3EA9FA7A" w14:textId="77777777" w:rsidR="00704152" w:rsidRPr="00704152" w:rsidRDefault="00704152" w:rsidP="00704152">
      <w:pPr>
        <w:spacing w:line="360" w:lineRule="auto"/>
        <w:jc w:val="both"/>
      </w:pPr>
      <w:r w:rsidRPr="00704152">
        <w:t>12Department of Oncology, Chuka County Referral Hospital, Chuka, Kenya.</w:t>
      </w:r>
    </w:p>
    <w:p w14:paraId="19FAF8E2" w14:textId="77777777" w:rsidR="00704152" w:rsidRPr="00704152" w:rsidRDefault="00704152" w:rsidP="00704152">
      <w:pPr>
        <w:spacing w:line="360" w:lineRule="auto"/>
        <w:jc w:val="both"/>
      </w:pPr>
      <w:r w:rsidRPr="00704152">
        <w:t>13Department of Oncology, Benjamin Mkapa Hospital, Dodoma, Tanzania.</w:t>
      </w:r>
    </w:p>
    <w:p w14:paraId="4C2AB26B" w14:textId="77777777" w:rsidR="00704152" w:rsidRPr="00704152" w:rsidRDefault="00704152" w:rsidP="00704152">
      <w:pPr>
        <w:spacing w:line="360" w:lineRule="auto"/>
        <w:jc w:val="both"/>
      </w:pPr>
      <w:r w:rsidRPr="00704152">
        <w:t>14Department of Oncology, Aga Khan Health Service, Dar es Salaam, Tanzania.</w:t>
      </w:r>
    </w:p>
    <w:p w14:paraId="1D0B952E" w14:textId="77777777" w:rsidR="00704152" w:rsidRPr="00704152" w:rsidRDefault="00704152" w:rsidP="00704152">
      <w:pPr>
        <w:spacing w:line="360" w:lineRule="auto"/>
        <w:jc w:val="both"/>
      </w:pPr>
      <w:r w:rsidRPr="00704152">
        <w:t>15Illawarra Cancer Care Centre, Wollongong, NSW, Australia.</w:t>
      </w:r>
    </w:p>
    <w:p w14:paraId="6066C52C" w14:textId="77777777" w:rsidR="00704152" w:rsidRPr="00704152" w:rsidRDefault="00704152" w:rsidP="00704152">
      <w:pPr>
        <w:spacing w:line="276" w:lineRule="auto"/>
        <w:jc w:val="both"/>
        <w:rPr>
          <w:b/>
        </w:rPr>
      </w:pPr>
      <w:r w:rsidRPr="00704152">
        <w:rPr>
          <w:b/>
        </w:rPr>
        <w:t xml:space="preserve">ABSTRACT </w:t>
      </w:r>
    </w:p>
    <w:p w14:paraId="61A7236A" w14:textId="77777777" w:rsidR="00704152" w:rsidRPr="00704152" w:rsidRDefault="00704152" w:rsidP="00704152">
      <w:pPr>
        <w:spacing w:line="276" w:lineRule="auto"/>
        <w:jc w:val="both"/>
      </w:pPr>
    </w:p>
    <w:p w14:paraId="417B2D9D" w14:textId="00CEA115" w:rsidR="00704152" w:rsidRPr="00704152" w:rsidRDefault="00704152" w:rsidP="00704152">
      <w:pPr>
        <w:spacing w:line="276" w:lineRule="auto"/>
        <w:jc w:val="both"/>
      </w:pPr>
      <w:r w:rsidRPr="00704152">
        <w:rPr>
          <w:b/>
        </w:rPr>
        <w:t xml:space="preserve">PURPOSE: </w:t>
      </w:r>
      <w:r w:rsidRPr="00704152">
        <w:t xml:space="preserve">Oropharyngeal cancer is on the rise, despite declines in other head and neck cancers. The primary cause of this increase is human papillomavirus (HPV) infection, which accounts for over a quarter of new cancer patients in Tanzania. These cancers are largely preventable through HPV vaccination. </w:t>
      </w:r>
      <w:proofErr w:type="spellStart"/>
      <w:r w:rsidRPr="00704152">
        <w:t>HPVassociated</w:t>
      </w:r>
      <w:proofErr w:type="spellEnd"/>
      <w:r w:rsidRPr="00704152">
        <w:t xml:space="preserve"> oropharyngeal squamous cell carcinoma (OPSCC) is recognized as a distinct molecular and clinical entity, with unique demographics, staging, survival, and prognosis. International guidelines recommend that all staging, prognosis, and treatment decisions for OPSCC occur after determining the p16 expression, a surrogate immunohistochemical marker for HPV infection. However, current Tanzanian guidelines and clinical practice do not incorporate p16 immunohistochemistry (IHC) testing, despite the availability of qualified pathologists and laboratories.</w:t>
      </w:r>
      <w:r>
        <w:rPr>
          <w:b/>
        </w:rPr>
        <w:t xml:space="preserve"> </w:t>
      </w:r>
      <w:r w:rsidRPr="00704152">
        <w:rPr>
          <w:b/>
        </w:rPr>
        <w:t>PATIENTS AND METHODS</w:t>
      </w:r>
      <w:r>
        <w:rPr>
          <w:b/>
        </w:rPr>
        <w:t xml:space="preserve">: </w:t>
      </w:r>
      <w:r w:rsidRPr="00704152">
        <w:t xml:space="preserve">This retrospective hospital-based cohort study was conducted at the Ocean Road Cancer Institute (ORCI) and </w:t>
      </w:r>
      <w:proofErr w:type="spellStart"/>
      <w:r w:rsidRPr="00704152">
        <w:t>Muhimbili</w:t>
      </w:r>
      <w:proofErr w:type="spellEnd"/>
      <w:r w:rsidRPr="00704152">
        <w:t xml:space="preserve"> National Hospital in Dar es Salaam, Tanzania. A total of 83 patients with OPSCC were included. We assessed the sociodemographic and clinicopathologic profiles and the impact of p16 expression on overall survival (OS) in patients with OPSCC treated at the ORCI. </w:t>
      </w:r>
      <w:r w:rsidRPr="00704152">
        <w:rPr>
          <w:b/>
        </w:rPr>
        <w:t>RESULTS</w:t>
      </w:r>
      <w:r>
        <w:rPr>
          <w:b/>
        </w:rPr>
        <w:t xml:space="preserve">: </w:t>
      </w:r>
      <w:r w:rsidRPr="00704152">
        <w:t xml:space="preserve">The prevalence of p16-positive OPSCC was found to be 43.4%. Patients with p16-positive tumors were younger and predominantly male and had a 3-year OS of 36% compared with 16.6% in those with p16-negative tumors. </w:t>
      </w:r>
      <w:r w:rsidRPr="00704152">
        <w:rPr>
          <w:b/>
        </w:rPr>
        <w:t>CONCLUSION</w:t>
      </w:r>
      <w:r>
        <w:rPr>
          <w:b/>
        </w:rPr>
        <w:t xml:space="preserve">: </w:t>
      </w:r>
      <w:r w:rsidRPr="00704152">
        <w:t>Our findings support the use of p16 IHC as a prognostic biomarker for OPSCC. In addition, the high prevalence of p16-positive OPSCC in our cohort suggests the broader implementation of gender-neutral HPV vaccination across Tanzania</w:t>
      </w:r>
    </w:p>
    <w:p w14:paraId="2D91A592" w14:textId="77777777" w:rsidR="00704152" w:rsidRPr="00704152" w:rsidRDefault="00704152" w:rsidP="00704152">
      <w:pPr>
        <w:spacing w:after="160" w:line="278" w:lineRule="auto"/>
        <w:rPr>
          <w:rFonts w:ascii="Arial" w:hAnsi="Arial" w:cs="Arial"/>
          <w:bCs/>
          <w:color w:val="000000"/>
          <w:szCs w:val="24"/>
        </w:rPr>
      </w:pPr>
    </w:p>
    <w:p w14:paraId="40647732" w14:textId="77777777" w:rsidR="000D0266" w:rsidRPr="000D0266" w:rsidRDefault="000D0266" w:rsidP="000D0266">
      <w:pPr>
        <w:jc w:val="both"/>
        <w:rPr>
          <w:rFonts w:eastAsia="Calibri"/>
          <w:bCs/>
          <w:color w:val="000000"/>
          <w:szCs w:val="24"/>
        </w:rPr>
      </w:pPr>
    </w:p>
    <w:p w14:paraId="693D8716" w14:textId="77777777" w:rsidR="000D0266" w:rsidRPr="000D0266" w:rsidRDefault="000D0266" w:rsidP="000D0266">
      <w:pPr>
        <w:jc w:val="both"/>
        <w:rPr>
          <w:rFonts w:eastAsia="Calibri"/>
          <w:bCs/>
          <w:color w:val="000000"/>
          <w:szCs w:val="24"/>
        </w:rPr>
      </w:pPr>
    </w:p>
    <w:p w14:paraId="78745398" w14:textId="77777777" w:rsidR="000D0266" w:rsidRDefault="000D0266" w:rsidP="000D0266">
      <w:pPr>
        <w:jc w:val="both"/>
        <w:rPr>
          <w:rFonts w:eastAsia="Calibri"/>
          <w:bCs/>
          <w:color w:val="000000"/>
          <w:szCs w:val="24"/>
        </w:rPr>
      </w:pPr>
    </w:p>
    <w:p w14:paraId="172246FF" w14:textId="77777777" w:rsidR="00704152" w:rsidRDefault="00704152" w:rsidP="000D0266">
      <w:pPr>
        <w:jc w:val="both"/>
        <w:rPr>
          <w:rFonts w:eastAsia="Calibri"/>
          <w:bCs/>
          <w:color w:val="000000"/>
          <w:szCs w:val="24"/>
        </w:rPr>
      </w:pPr>
    </w:p>
    <w:p w14:paraId="3C045C3B" w14:textId="77777777" w:rsidR="00704152" w:rsidRDefault="00704152" w:rsidP="000D0266">
      <w:pPr>
        <w:jc w:val="both"/>
        <w:rPr>
          <w:rFonts w:eastAsia="Calibri"/>
          <w:bCs/>
          <w:color w:val="000000"/>
          <w:szCs w:val="24"/>
        </w:rPr>
      </w:pPr>
    </w:p>
    <w:p w14:paraId="2484546B" w14:textId="77777777" w:rsidR="00704152" w:rsidRDefault="00704152" w:rsidP="000D0266">
      <w:pPr>
        <w:jc w:val="both"/>
        <w:rPr>
          <w:rFonts w:eastAsia="Calibri"/>
          <w:bCs/>
          <w:color w:val="000000"/>
          <w:szCs w:val="24"/>
        </w:rPr>
      </w:pPr>
    </w:p>
    <w:p w14:paraId="43425DA8" w14:textId="77777777" w:rsidR="00704152" w:rsidRDefault="00704152" w:rsidP="000D0266">
      <w:pPr>
        <w:jc w:val="both"/>
        <w:rPr>
          <w:rFonts w:eastAsia="Calibri"/>
          <w:bCs/>
          <w:color w:val="000000"/>
          <w:szCs w:val="24"/>
        </w:rPr>
      </w:pPr>
    </w:p>
    <w:p w14:paraId="4FEB158F" w14:textId="77777777" w:rsidR="00704152" w:rsidRDefault="00704152" w:rsidP="000D0266">
      <w:pPr>
        <w:jc w:val="both"/>
        <w:rPr>
          <w:rFonts w:eastAsia="Calibri"/>
          <w:bCs/>
          <w:color w:val="000000"/>
          <w:szCs w:val="24"/>
        </w:rPr>
      </w:pPr>
    </w:p>
    <w:p w14:paraId="07E6CBEB" w14:textId="77777777" w:rsidR="00704152" w:rsidRDefault="00704152" w:rsidP="000D0266">
      <w:pPr>
        <w:jc w:val="both"/>
        <w:rPr>
          <w:rFonts w:eastAsia="Calibri"/>
          <w:bCs/>
          <w:color w:val="000000"/>
          <w:szCs w:val="24"/>
        </w:rPr>
      </w:pPr>
    </w:p>
    <w:p w14:paraId="25E9F58F" w14:textId="77777777" w:rsidR="00704152" w:rsidRPr="000D0266" w:rsidRDefault="00704152" w:rsidP="000D0266">
      <w:pPr>
        <w:jc w:val="both"/>
        <w:rPr>
          <w:rFonts w:eastAsia="Calibri"/>
          <w:bCs/>
          <w:color w:val="000000"/>
          <w:szCs w:val="24"/>
        </w:rPr>
      </w:pPr>
    </w:p>
    <w:p w14:paraId="21B7F10C" w14:textId="77777777" w:rsidR="000D0266" w:rsidRPr="000D0266" w:rsidRDefault="000D0266" w:rsidP="000D0266">
      <w:pPr>
        <w:jc w:val="both"/>
        <w:rPr>
          <w:rFonts w:eastAsia="Calibri"/>
          <w:b/>
          <w:bCs/>
          <w:color w:val="000000"/>
          <w:sz w:val="28"/>
          <w:szCs w:val="24"/>
        </w:rPr>
      </w:pPr>
      <w:r w:rsidRPr="000D0266">
        <w:rPr>
          <w:rFonts w:eastAsia="Calibri"/>
          <w:b/>
          <w:bCs/>
          <w:color w:val="000000"/>
          <w:sz w:val="28"/>
          <w:szCs w:val="24"/>
        </w:rPr>
        <w:t>Global radiology: Building equitable and effective partnerships with low and middle-income countries</w:t>
      </w:r>
    </w:p>
    <w:p w14:paraId="28A71288" w14:textId="77777777" w:rsidR="000D0266" w:rsidRPr="000D0266" w:rsidRDefault="000D0266" w:rsidP="000D0266">
      <w:pPr>
        <w:jc w:val="both"/>
        <w:rPr>
          <w:rFonts w:eastAsia="Calibri"/>
          <w:b/>
          <w:bCs/>
          <w:color w:val="000000"/>
          <w:szCs w:val="24"/>
        </w:rPr>
      </w:pPr>
      <w:r w:rsidRPr="000D0266">
        <w:rPr>
          <w:rFonts w:eastAsia="Calibri"/>
          <w:b/>
          <w:bCs/>
          <w:color w:val="000000"/>
          <w:szCs w:val="24"/>
        </w:rPr>
        <w:t xml:space="preserve">Lydia A. </w:t>
      </w:r>
      <w:proofErr w:type="spellStart"/>
      <w:proofErr w:type="gramStart"/>
      <w:r w:rsidRPr="000D0266">
        <w:rPr>
          <w:rFonts w:eastAsia="Calibri"/>
          <w:b/>
          <w:bCs/>
          <w:color w:val="000000"/>
          <w:szCs w:val="24"/>
        </w:rPr>
        <w:t>Kwarteng</w:t>
      </w:r>
      <w:r w:rsidRPr="000D0266">
        <w:rPr>
          <w:rFonts w:eastAsia="Calibri"/>
          <w:b/>
          <w:bCs/>
          <w:color w:val="000000"/>
          <w:szCs w:val="24"/>
          <w:vertAlign w:val="superscript"/>
        </w:rPr>
        <w:t>a,b</w:t>
      </w:r>
      <w:proofErr w:type="spellEnd"/>
      <w:proofErr w:type="gramEnd"/>
      <w:r w:rsidRPr="000D0266">
        <w:rPr>
          <w:rFonts w:eastAsia="Calibri"/>
          <w:b/>
          <w:bCs/>
          <w:color w:val="000000"/>
          <w:szCs w:val="24"/>
          <w:vertAlign w:val="superscript"/>
        </w:rPr>
        <w:t xml:space="preserve"> </w:t>
      </w:r>
      <w:r w:rsidRPr="000D0266">
        <w:rPr>
          <w:rFonts w:eastAsia="Calibri"/>
          <w:b/>
          <w:bCs/>
          <w:color w:val="000000"/>
          <w:szCs w:val="24"/>
        </w:rPr>
        <w:t xml:space="preserve">∙ Amie Y. </w:t>
      </w:r>
      <w:proofErr w:type="spellStart"/>
      <w:r w:rsidRPr="000D0266">
        <w:rPr>
          <w:rFonts w:eastAsia="Calibri"/>
          <w:b/>
          <w:bCs/>
          <w:color w:val="000000"/>
          <w:szCs w:val="24"/>
        </w:rPr>
        <w:t>Leea</w:t>
      </w:r>
      <w:r w:rsidRPr="000D0266">
        <w:rPr>
          <w:rFonts w:eastAsia="Calibri"/>
          <w:b/>
          <w:bCs/>
          <w:color w:val="000000"/>
          <w:szCs w:val="24"/>
          <w:vertAlign w:val="superscript"/>
        </w:rPr>
        <w:t>b</w:t>
      </w:r>
      <w:proofErr w:type="spellEnd"/>
      <w:r w:rsidRPr="000D0266">
        <w:rPr>
          <w:rFonts w:eastAsia="Calibri"/>
          <w:b/>
          <w:bCs/>
          <w:color w:val="000000"/>
          <w:szCs w:val="24"/>
        </w:rPr>
        <w:t xml:space="preserve"> ∙ Lulu Sakafu</w:t>
      </w:r>
      <w:r w:rsidRPr="000D0266">
        <w:rPr>
          <w:rFonts w:eastAsia="Calibri"/>
          <w:b/>
          <w:bCs/>
          <w:color w:val="000000"/>
          <w:szCs w:val="24"/>
          <w:vertAlign w:val="superscript"/>
        </w:rPr>
        <w:t>c</w:t>
      </w:r>
      <w:r w:rsidRPr="000D0266">
        <w:rPr>
          <w:rFonts w:eastAsia="Calibri"/>
          <w:b/>
          <w:bCs/>
          <w:color w:val="000000"/>
          <w:szCs w:val="24"/>
        </w:rPr>
        <w:t xml:space="preserve"> ∙ Victoria Lee Mango</w:t>
      </w:r>
      <w:r w:rsidRPr="000D0266">
        <w:rPr>
          <w:rFonts w:eastAsia="Calibri"/>
          <w:b/>
          <w:bCs/>
          <w:color w:val="000000"/>
          <w:szCs w:val="24"/>
          <w:vertAlign w:val="superscript"/>
        </w:rPr>
        <w:t>d</w:t>
      </w:r>
      <w:r w:rsidRPr="000D0266">
        <w:rPr>
          <w:rFonts w:eastAsia="Calibri"/>
          <w:b/>
          <w:bCs/>
          <w:color w:val="000000"/>
          <w:szCs w:val="24"/>
        </w:rPr>
        <w:t xml:space="preserve"> ∙ Lulu S. </w:t>
      </w:r>
      <w:proofErr w:type="spellStart"/>
      <w:r w:rsidRPr="000D0266">
        <w:rPr>
          <w:rFonts w:eastAsia="Calibri"/>
          <w:b/>
          <w:bCs/>
          <w:color w:val="000000"/>
          <w:szCs w:val="24"/>
        </w:rPr>
        <w:t>Fundikira</w:t>
      </w:r>
      <w:r w:rsidRPr="000D0266">
        <w:rPr>
          <w:rFonts w:eastAsia="Calibri"/>
          <w:b/>
          <w:bCs/>
          <w:color w:val="000000"/>
          <w:szCs w:val="24"/>
          <w:vertAlign w:val="superscript"/>
        </w:rPr>
        <w:t>e</w:t>
      </w:r>
      <w:proofErr w:type="spellEnd"/>
      <w:r w:rsidRPr="000D0266">
        <w:rPr>
          <w:rFonts w:eastAsia="Calibri"/>
          <w:b/>
          <w:bCs/>
          <w:color w:val="000000"/>
          <w:szCs w:val="24"/>
        </w:rPr>
        <w:t xml:space="preserve"> ∙ Frederick </w:t>
      </w:r>
      <w:proofErr w:type="spellStart"/>
      <w:r w:rsidRPr="000D0266">
        <w:rPr>
          <w:rFonts w:eastAsia="Calibri"/>
          <w:b/>
          <w:bCs/>
          <w:color w:val="000000"/>
          <w:szCs w:val="24"/>
        </w:rPr>
        <w:t>Lyimo</w:t>
      </w:r>
      <w:r w:rsidRPr="000D0266">
        <w:rPr>
          <w:rFonts w:eastAsia="Calibri"/>
          <w:b/>
          <w:bCs/>
          <w:color w:val="000000"/>
          <w:szCs w:val="24"/>
          <w:vertAlign w:val="superscript"/>
        </w:rPr>
        <w:t>f</w:t>
      </w:r>
      <w:proofErr w:type="spellEnd"/>
      <w:r w:rsidRPr="000D0266">
        <w:rPr>
          <w:rFonts w:eastAsia="Calibri"/>
          <w:b/>
          <w:bCs/>
          <w:color w:val="000000"/>
          <w:szCs w:val="24"/>
        </w:rPr>
        <w:t xml:space="preserve"> ∙ </w:t>
      </w:r>
      <w:proofErr w:type="spellStart"/>
      <w:r w:rsidRPr="000D0266">
        <w:rPr>
          <w:rFonts w:eastAsia="Calibri"/>
          <w:b/>
          <w:bCs/>
          <w:color w:val="000000"/>
          <w:szCs w:val="24"/>
        </w:rPr>
        <w:t>Ugumba</w:t>
      </w:r>
      <w:proofErr w:type="spellEnd"/>
      <w:r w:rsidRPr="000D0266">
        <w:rPr>
          <w:rFonts w:eastAsia="Calibri"/>
          <w:b/>
          <w:bCs/>
          <w:color w:val="000000"/>
          <w:szCs w:val="24"/>
        </w:rPr>
        <w:t xml:space="preserve"> </w:t>
      </w:r>
      <w:proofErr w:type="spellStart"/>
      <w:r w:rsidRPr="000D0266">
        <w:rPr>
          <w:rFonts w:eastAsia="Calibri"/>
          <w:b/>
          <w:bCs/>
          <w:color w:val="000000"/>
          <w:szCs w:val="24"/>
        </w:rPr>
        <w:t>Kwikima</w:t>
      </w:r>
      <w:r w:rsidRPr="000D0266">
        <w:rPr>
          <w:rFonts w:eastAsia="Calibri"/>
          <w:b/>
          <w:bCs/>
          <w:color w:val="000000"/>
          <w:szCs w:val="24"/>
          <w:vertAlign w:val="superscript"/>
        </w:rPr>
        <w:t>g</w:t>
      </w:r>
      <w:proofErr w:type="spellEnd"/>
      <w:r w:rsidRPr="000D0266">
        <w:rPr>
          <w:rFonts w:eastAsia="Calibri"/>
          <w:b/>
          <w:bCs/>
          <w:color w:val="000000"/>
          <w:szCs w:val="24"/>
        </w:rPr>
        <w:t xml:space="preserve"> ∙ Beatrice P. </w:t>
      </w:r>
      <w:proofErr w:type="spellStart"/>
      <w:r w:rsidRPr="000D0266">
        <w:rPr>
          <w:rFonts w:eastAsia="Calibri"/>
          <w:b/>
          <w:bCs/>
          <w:color w:val="000000"/>
          <w:szCs w:val="24"/>
        </w:rPr>
        <w:t>Mushi</w:t>
      </w:r>
      <w:r w:rsidRPr="000D0266">
        <w:rPr>
          <w:rFonts w:eastAsia="Calibri"/>
          <w:b/>
          <w:bCs/>
          <w:color w:val="000000"/>
          <w:szCs w:val="24"/>
          <w:vertAlign w:val="superscript"/>
        </w:rPr>
        <w:t>g</w:t>
      </w:r>
      <w:proofErr w:type="spellEnd"/>
      <w:r w:rsidRPr="000D0266">
        <w:rPr>
          <w:rFonts w:eastAsia="Calibri"/>
          <w:b/>
          <w:bCs/>
          <w:color w:val="000000"/>
          <w:szCs w:val="24"/>
        </w:rPr>
        <w:t xml:space="preserve"> ∙ Katherine Van </w:t>
      </w:r>
      <w:proofErr w:type="spellStart"/>
      <w:proofErr w:type="gramStart"/>
      <w:r w:rsidRPr="000D0266">
        <w:rPr>
          <w:rFonts w:eastAsia="Calibri"/>
          <w:b/>
          <w:bCs/>
          <w:color w:val="000000"/>
          <w:szCs w:val="24"/>
        </w:rPr>
        <w:t>Loon</w:t>
      </w:r>
      <w:r w:rsidRPr="000D0266">
        <w:rPr>
          <w:rFonts w:eastAsia="Calibri"/>
          <w:b/>
          <w:bCs/>
          <w:color w:val="000000"/>
          <w:szCs w:val="24"/>
          <w:vertAlign w:val="superscript"/>
        </w:rPr>
        <w:t>b,h</w:t>
      </w:r>
      <w:proofErr w:type="spellEnd"/>
      <w:proofErr w:type="gramEnd"/>
      <w:r w:rsidRPr="000D0266">
        <w:rPr>
          <w:rFonts w:eastAsia="Calibri"/>
          <w:b/>
          <w:bCs/>
          <w:color w:val="000000"/>
          <w:szCs w:val="24"/>
          <w:vertAlign w:val="superscript"/>
        </w:rPr>
        <w:t xml:space="preserve"> </w:t>
      </w:r>
      <w:r w:rsidRPr="000D0266">
        <w:rPr>
          <w:rFonts w:eastAsia="Calibri"/>
          <w:b/>
          <w:bCs/>
          <w:color w:val="000000"/>
          <w:szCs w:val="24"/>
        </w:rPr>
        <w:t xml:space="preserve">∙ Frank J. </w:t>
      </w:r>
      <w:proofErr w:type="spellStart"/>
      <w:r w:rsidRPr="000D0266">
        <w:rPr>
          <w:rFonts w:eastAsia="Calibri"/>
          <w:b/>
          <w:bCs/>
          <w:color w:val="000000"/>
          <w:szCs w:val="24"/>
        </w:rPr>
        <w:t>Minja</w:t>
      </w:r>
      <w:r w:rsidRPr="000D0266">
        <w:rPr>
          <w:rFonts w:eastAsia="Calibri"/>
          <w:b/>
          <w:bCs/>
          <w:color w:val="000000"/>
          <w:szCs w:val="24"/>
          <w:vertAlign w:val="superscript"/>
        </w:rPr>
        <w:t>i</w:t>
      </w:r>
      <w:proofErr w:type="spellEnd"/>
      <w:r w:rsidRPr="000D0266">
        <w:rPr>
          <w:rFonts w:eastAsia="Calibri"/>
          <w:b/>
          <w:bCs/>
          <w:color w:val="000000"/>
          <w:szCs w:val="24"/>
        </w:rPr>
        <w:t xml:space="preserve"> </w:t>
      </w:r>
    </w:p>
    <w:p w14:paraId="2C7EB596" w14:textId="77777777" w:rsidR="000D0266" w:rsidRPr="000D0266" w:rsidRDefault="000D0266" w:rsidP="000D0266">
      <w:pPr>
        <w:jc w:val="both"/>
        <w:rPr>
          <w:rFonts w:eastAsia="Calibri"/>
          <w:b/>
          <w:bCs/>
          <w:color w:val="000000"/>
          <w:szCs w:val="24"/>
        </w:rPr>
      </w:pPr>
    </w:p>
    <w:p w14:paraId="14090E97" w14:textId="77777777" w:rsidR="000D0266" w:rsidRPr="000D0266" w:rsidRDefault="000D0266" w:rsidP="000D0266">
      <w:pPr>
        <w:jc w:val="both"/>
        <w:rPr>
          <w:rFonts w:eastAsia="Calibri"/>
          <w:bCs/>
          <w:color w:val="000000"/>
          <w:szCs w:val="24"/>
        </w:rPr>
      </w:pPr>
      <w:proofErr w:type="spellStart"/>
      <w:r w:rsidRPr="000D0266">
        <w:rPr>
          <w:rFonts w:eastAsia="Calibri"/>
          <w:bCs/>
          <w:color w:val="000000"/>
          <w:szCs w:val="24"/>
          <w:vertAlign w:val="superscript"/>
        </w:rPr>
        <w:t>a</w:t>
      </w:r>
      <w:r w:rsidRPr="000D0266">
        <w:rPr>
          <w:rFonts w:eastAsia="Calibri"/>
          <w:bCs/>
          <w:color w:val="000000"/>
          <w:szCs w:val="24"/>
        </w:rPr>
        <w:t>University</w:t>
      </w:r>
      <w:proofErr w:type="spellEnd"/>
      <w:r w:rsidRPr="000D0266">
        <w:rPr>
          <w:rFonts w:eastAsia="Calibri"/>
          <w:bCs/>
          <w:color w:val="000000"/>
          <w:szCs w:val="24"/>
        </w:rPr>
        <w:t xml:space="preserve"> of California, San Francisco (UCSF), Global Cancer Program, San Francisco, CA, United States of America</w:t>
      </w:r>
    </w:p>
    <w:p w14:paraId="3A817B31" w14:textId="77777777" w:rsidR="000D0266" w:rsidRPr="000D0266" w:rsidRDefault="000D0266" w:rsidP="000D0266">
      <w:pPr>
        <w:jc w:val="both"/>
        <w:rPr>
          <w:rFonts w:eastAsia="Calibri"/>
          <w:bCs/>
          <w:color w:val="000000"/>
          <w:szCs w:val="24"/>
        </w:rPr>
      </w:pPr>
      <w:proofErr w:type="spellStart"/>
      <w:r w:rsidRPr="000D0266">
        <w:rPr>
          <w:rFonts w:eastAsia="Calibri"/>
          <w:bCs/>
          <w:color w:val="000000"/>
          <w:szCs w:val="24"/>
          <w:vertAlign w:val="superscript"/>
        </w:rPr>
        <w:t>b</w:t>
      </w:r>
      <w:r w:rsidRPr="000D0266">
        <w:rPr>
          <w:rFonts w:eastAsia="Calibri"/>
          <w:bCs/>
          <w:color w:val="000000"/>
          <w:szCs w:val="24"/>
        </w:rPr>
        <w:t>UCSF</w:t>
      </w:r>
      <w:proofErr w:type="spellEnd"/>
      <w:r w:rsidRPr="000D0266">
        <w:rPr>
          <w:rFonts w:eastAsia="Calibri"/>
          <w:bCs/>
          <w:color w:val="000000"/>
          <w:szCs w:val="24"/>
        </w:rPr>
        <w:t>, Department of Radiology and Biomedical Imaging, San Francisco, CA, United States of America</w:t>
      </w:r>
    </w:p>
    <w:p w14:paraId="145FD375" w14:textId="77777777" w:rsidR="000D0266" w:rsidRPr="000D0266" w:rsidRDefault="000D0266" w:rsidP="000D0266">
      <w:pPr>
        <w:jc w:val="both"/>
        <w:rPr>
          <w:rFonts w:eastAsia="Calibri"/>
          <w:bCs/>
          <w:color w:val="000000"/>
          <w:szCs w:val="24"/>
        </w:rPr>
      </w:pPr>
      <w:proofErr w:type="spellStart"/>
      <w:r w:rsidRPr="000D0266">
        <w:rPr>
          <w:rFonts w:eastAsia="Calibri"/>
          <w:bCs/>
          <w:color w:val="000000"/>
          <w:szCs w:val="24"/>
          <w:vertAlign w:val="superscript"/>
        </w:rPr>
        <w:t>c</w:t>
      </w:r>
      <w:r w:rsidRPr="000D0266">
        <w:rPr>
          <w:rFonts w:eastAsia="Calibri"/>
          <w:bCs/>
          <w:color w:val="000000"/>
          <w:szCs w:val="24"/>
        </w:rPr>
        <w:t>Muhimbili</w:t>
      </w:r>
      <w:proofErr w:type="spellEnd"/>
      <w:r w:rsidRPr="000D0266">
        <w:rPr>
          <w:rFonts w:eastAsia="Calibri"/>
          <w:bCs/>
          <w:color w:val="000000"/>
          <w:szCs w:val="24"/>
        </w:rPr>
        <w:t xml:space="preserve"> National Hospital-Mloganzila, Department of Radiology, Dar es Salaam, Tanzania</w:t>
      </w:r>
    </w:p>
    <w:p w14:paraId="3B3FDC03" w14:textId="77777777" w:rsidR="000D0266" w:rsidRPr="000D0266" w:rsidRDefault="000D0266" w:rsidP="000D0266">
      <w:pPr>
        <w:jc w:val="both"/>
        <w:rPr>
          <w:rFonts w:eastAsia="Calibri"/>
          <w:bCs/>
          <w:color w:val="000000"/>
          <w:szCs w:val="24"/>
        </w:rPr>
      </w:pPr>
      <w:proofErr w:type="spellStart"/>
      <w:r w:rsidRPr="000D0266">
        <w:rPr>
          <w:rFonts w:eastAsia="Calibri"/>
          <w:bCs/>
          <w:color w:val="000000"/>
          <w:szCs w:val="24"/>
          <w:vertAlign w:val="superscript"/>
        </w:rPr>
        <w:t>d</w:t>
      </w:r>
      <w:r w:rsidRPr="000D0266">
        <w:rPr>
          <w:rFonts w:eastAsia="Calibri"/>
          <w:bCs/>
          <w:color w:val="000000"/>
          <w:szCs w:val="24"/>
        </w:rPr>
        <w:t>Memorial</w:t>
      </w:r>
      <w:proofErr w:type="spellEnd"/>
      <w:r w:rsidRPr="000D0266">
        <w:rPr>
          <w:rFonts w:eastAsia="Calibri"/>
          <w:bCs/>
          <w:color w:val="000000"/>
          <w:szCs w:val="24"/>
        </w:rPr>
        <w:t xml:space="preserve"> Sloan Kettering Cancer Center, Department of Radiology, New York, NY, United States of America</w:t>
      </w:r>
    </w:p>
    <w:p w14:paraId="1BE834E3" w14:textId="77777777" w:rsidR="000D0266" w:rsidRPr="000D0266" w:rsidRDefault="000D0266" w:rsidP="000D0266">
      <w:pPr>
        <w:jc w:val="both"/>
        <w:rPr>
          <w:rFonts w:eastAsia="Calibri"/>
          <w:bCs/>
          <w:color w:val="000000"/>
          <w:szCs w:val="24"/>
        </w:rPr>
      </w:pPr>
      <w:proofErr w:type="spellStart"/>
      <w:r w:rsidRPr="000D0266">
        <w:rPr>
          <w:rFonts w:eastAsia="Calibri"/>
          <w:bCs/>
          <w:color w:val="000000"/>
          <w:szCs w:val="24"/>
          <w:vertAlign w:val="superscript"/>
        </w:rPr>
        <w:t>e</w:t>
      </w:r>
      <w:r w:rsidRPr="000D0266">
        <w:rPr>
          <w:rFonts w:eastAsia="Calibri"/>
          <w:bCs/>
          <w:color w:val="000000"/>
          <w:szCs w:val="24"/>
        </w:rPr>
        <w:t>Muhimbili</w:t>
      </w:r>
      <w:proofErr w:type="spellEnd"/>
      <w:r w:rsidRPr="000D0266">
        <w:rPr>
          <w:rFonts w:eastAsia="Calibri"/>
          <w:bCs/>
          <w:color w:val="000000"/>
          <w:szCs w:val="24"/>
        </w:rPr>
        <w:t xml:space="preserve"> University of Health and Allied Sciences, Department of Radiology, Dar es Salaam, Tanzania</w:t>
      </w:r>
    </w:p>
    <w:p w14:paraId="36419B1E" w14:textId="77777777" w:rsidR="000D0266" w:rsidRPr="000D0266" w:rsidRDefault="000D0266" w:rsidP="000D0266">
      <w:pPr>
        <w:jc w:val="both"/>
        <w:rPr>
          <w:rFonts w:eastAsia="Calibri"/>
          <w:bCs/>
          <w:color w:val="000000"/>
          <w:szCs w:val="24"/>
        </w:rPr>
      </w:pPr>
      <w:proofErr w:type="spellStart"/>
      <w:r w:rsidRPr="000D0266">
        <w:rPr>
          <w:rFonts w:eastAsia="Calibri"/>
          <w:bCs/>
          <w:color w:val="000000"/>
          <w:szCs w:val="24"/>
          <w:vertAlign w:val="superscript"/>
        </w:rPr>
        <w:t>f</w:t>
      </w:r>
      <w:r w:rsidRPr="000D0266">
        <w:rPr>
          <w:rFonts w:eastAsia="Calibri"/>
          <w:bCs/>
          <w:color w:val="000000"/>
          <w:szCs w:val="24"/>
        </w:rPr>
        <w:t>Muhimbili</w:t>
      </w:r>
      <w:proofErr w:type="spellEnd"/>
      <w:r w:rsidRPr="000D0266">
        <w:rPr>
          <w:rFonts w:eastAsia="Calibri"/>
          <w:bCs/>
          <w:color w:val="000000"/>
          <w:szCs w:val="24"/>
        </w:rPr>
        <w:t xml:space="preserve"> National Hospital, Department of Radiology, Dar es Salaam, Tanzania</w:t>
      </w:r>
    </w:p>
    <w:p w14:paraId="0DE89FA6" w14:textId="77777777" w:rsidR="000D0266" w:rsidRPr="000D0266" w:rsidRDefault="000D0266" w:rsidP="000D0266">
      <w:pPr>
        <w:jc w:val="both"/>
        <w:rPr>
          <w:rFonts w:eastAsia="Calibri"/>
          <w:bCs/>
          <w:color w:val="000000"/>
          <w:szCs w:val="24"/>
        </w:rPr>
      </w:pPr>
      <w:proofErr w:type="spellStart"/>
      <w:r w:rsidRPr="000D0266">
        <w:rPr>
          <w:rFonts w:eastAsia="Calibri"/>
          <w:bCs/>
          <w:color w:val="000000"/>
          <w:szCs w:val="24"/>
          <w:vertAlign w:val="superscript"/>
        </w:rPr>
        <w:t>g</w:t>
      </w:r>
      <w:r w:rsidRPr="000D0266">
        <w:rPr>
          <w:rFonts w:eastAsia="Calibri"/>
          <w:bCs/>
          <w:color w:val="000000"/>
          <w:szCs w:val="24"/>
        </w:rPr>
        <w:t>Muhimbili</w:t>
      </w:r>
      <w:proofErr w:type="spellEnd"/>
      <w:r w:rsidRPr="000D0266">
        <w:rPr>
          <w:rFonts w:eastAsia="Calibri"/>
          <w:bCs/>
          <w:color w:val="000000"/>
          <w:szCs w:val="24"/>
        </w:rPr>
        <w:t xml:space="preserve"> University of Health and Allied Sciences, Dar es Salaam, Tanzania</w:t>
      </w:r>
    </w:p>
    <w:p w14:paraId="30415D4D" w14:textId="77777777" w:rsidR="000D0266" w:rsidRPr="000D0266" w:rsidRDefault="000D0266" w:rsidP="000D0266">
      <w:pPr>
        <w:jc w:val="both"/>
        <w:rPr>
          <w:rFonts w:eastAsia="Calibri"/>
          <w:bCs/>
          <w:color w:val="000000"/>
          <w:szCs w:val="24"/>
        </w:rPr>
      </w:pPr>
      <w:proofErr w:type="spellStart"/>
      <w:r w:rsidRPr="000D0266">
        <w:rPr>
          <w:rFonts w:eastAsia="Calibri"/>
          <w:bCs/>
          <w:color w:val="000000"/>
          <w:szCs w:val="24"/>
          <w:vertAlign w:val="superscript"/>
        </w:rPr>
        <w:t>h</w:t>
      </w:r>
      <w:r w:rsidRPr="000D0266">
        <w:rPr>
          <w:rFonts w:eastAsia="Calibri"/>
          <w:bCs/>
          <w:color w:val="000000"/>
          <w:szCs w:val="24"/>
        </w:rPr>
        <w:t>UCSF</w:t>
      </w:r>
      <w:proofErr w:type="spellEnd"/>
      <w:r w:rsidRPr="000D0266">
        <w:rPr>
          <w:rFonts w:eastAsia="Calibri"/>
          <w:bCs/>
          <w:color w:val="000000"/>
          <w:szCs w:val="24"/>
        </w:rPr>
        <w:t xml:space="preserve">, Division of Hematology and Oncology, San Francisco, CA, United States of </w:t>
      </w:r>
    </w:p>
    <w:p w14:paraId="56A51D13" w14:textId="77777777" w:rsidR="000D0266" w:rsidRPr="000D0266" w:rsidRDefault="000D0266" w:rsidP="000D0266">
      <w:pPr>
        <w:jc w:val="both"/>
        <w:rPr>
          <w:rFonts w:eastAsia="Calibri"/>
          <w:bCs/>
          <w:color w:val="000000"/>
          <w:szCs w:val="24"/>
        </w:rPr>
      </w:pPr>
      <w:proofErr w:type="spellStart"/>
      <w:r w:rsidRPr="000D0266">
        <w:rPr>
          <w:rFonts w:eastAsia="Calibri"/>
          <w:bCs/>
          <w:color w:val="000000"/>
          <w:szCs w:val="24"/>
          <w:vertAlign w:val="superscript"/>
        </w:rPr>
        <w:t>i</w:t>
      </w:r>
      <w:r w:rsidRPr="000D0266">
        <w:rPr>
          <w:rFonts w:eastAsia="Calibri"/>
          <w:bCs/>
          <w:color w:val="000000"/>
          <w:szCs w:val="24"/>
        </w:rPr>
        <w:t>Emory</w:t>
      </w:r>
      <w:proofErr w:type="spellEnd"/>
      <w:r w:rsidRPr="000D0266">
        <w:rPr>
          <w:rFonts w:eastAsia="Calibri"/>
          <w:bCs/>
          <w:color w:val="000000"/>
          <w:szCs w:val="24"/>
        </w:rPr>
        <w:t xml:space="preserve"> University, Department of Radiology and Imaging Sciences, Atlanta, GA, United States of America</w:t>
      </w:r>
    </w:p>
    <w:p w14:paraId="17595465" w14:textId="77777777" w:rsidR="000D0266" w:rsidRPr="000D0266" w:rsidRDefault="000D0266" w:rsidP="000D0266">
      <w:pPr>
        <w:jc w:val="both"/>
        <w:rPr>
          <w:rFonts w:eastAsia="Calibri"/>
          <w:bCs/>
          <w:color w:val="000000"/>
          <w:szCs w:val="24"/>
        </w:rPr>
      </w:pPr>
    </w:p>
    <w:p w14:paraId="59076F25" w14:textId="77777777" w:rsidR="000D0266" w:rsidRPr="000D0266" w:rsidRDefault="000D0266" w:rsidP="000D0266">
      <w:pPr>
        <w:jc w:val="both"/>
        <w:rPr>
          <w:rFonts w:eastAsia="Calibri"/>
          <w:bCs/>
          <w:color w:val="000000"/>
          <w:szCs w:val="24"/>
        </w:rPr>
      </w:pPr>
      <w:r w:rsidRPr="000D0266">
        <w:rPr>
          <w:rFonts w:eastAsia="Calibri"/>
          <w:b/>
          <w:bCs/>
          <w:color w:val="000000"/>
          <w:szCs w:val="24"/>
        </w:rPr>
        <w:t>Corresponding author</w:t>
      </w:r>
      <w:r w:rsidRPr="000D0266">
        <w:rPr>
          <w:rFonts w:eastAsia="Calibri"/>
          <w:bCs/>
          <w:color w:val="000000"/>
          <w:szCs w:val="24"/>
        </w:rPr>
        <w:t>: UCSF Global Cancer Program, UCSF Department of Radiology and Biomedical Imaging, Precision Cancer Medicine Building, 1825 4th Street, Room L3185, San Francisco, CA 94107, United States of America.</w:t>
      </w:r>
    </w:p>
    <w:p w14:paraId="0D3FD116" w14:textId="77777777" w:rsidR="000D0266" w:rsidRPr="000D0266" w:rsidRDefault="000D0266" w:rsidP="000D0266">
      <w:pPr>
        <w:jc w:val="both"/>
        <w:rPr>
          <w:rFonts w:eastAsia="Calibri"/>
          <w:bCs/>
          <w:color w:val="000000"/>
          <w:szCs w:val="24"/>
        </w:rPr>
      </w:pPr>
      <w:hyperlink r:id="rId14" w:tooltip="Send email to Amie Y. Lee" w:history="1">
        <w:r w:rsidRPr="000D0266">
          <w:rPr>
            <w:rFonts w:eastAsia="Calibri"/>
            <w:bCs/>
            <w:color w:val="0000FF"/>
            <w:szCs w:val="24"/>
            <w:u w:val="single"/>
          </w:rPr>
          <w:t>Amie.Lee2@ucsf.edu</w:t>
        </w:r>
      </w:hyperlink>
    </w:p>
    <w:p w14:paraId="6444E905" w14:textId="77777777" w:rsidR="000D0266" w:rsidRPr="000D0266" w:rsidRDefault="000D0266" w:rsidP="000D0266">
      <w:pPr>
        <w:jc w:val="both"/>
        <w:rPr>
          <w:rFonts w:eastAsia="Calibri"/>
          <w:bCs/>
          <w:color w:val="000000"/>
          <w:szCs w:val="24"/>
        </w:rPr>
      </w:pPr>
    </w:p>
    <w:p w14:paraId="42AC4F37" w14:textId="77777777" w:rsidR="000D0266" w:rsidRPr="000D0266" w:rsidRDefault="000D0266" w:rsidP="000D0266">
      <w:pPr>
        <w:jc w:val="both"/>
        <w:rPr>
          <w:rFonts w:eastAsia="Calibri"/>
          <w:bCs/>
          <w:color w:val="000000"/>
          <w:szCs w:val="24"/>
        </w:rPr>
      </w:pPr>
      <w:r w:rsidRPr="000D0266">
        <w:rPr>
          <w:rFonts w:eastAsia="Calibri"/>
          <w:bCs/>
          <w:color w:val="000000"/>
          <w:szCs w:val="24"/>
        </w:rPr>
        <w:t>DOI:</w:t>
      </w:r>
      <w:r w:rsidRPr="000D0266">
        <w:t xml:space="preserve"> </w:t>
      </w:r>
      <w:hyperlink r:id="rId15" w:history="1">
        <w:r w:rsidRPr="000D0266">
          <w:rPr>
            <w:rFonts w:eastAsia="Calibri"/>
            <w:bCs/>
            <w:color w:val="0000FF"/>
            <w:szCs w:val="24"/>
            <w:u w:val="single"/>
          </w:rPr>
          <w:t>https://doi.org/10.1016/j.clinimag.2025.110559</w:t>
        </w:r>
      </w:hyperlink>
    </w:p>
    <w:p w14:paraId="6767C81F" w14:textId="77777777" w:rsidR="000D0266" w:rsidRPr="000D0266" w:rsidRDefault="000D0266" w:rsidP="000D0266">
      <w:pPr>
        <w:jc w:val="both"/>
        <w:rPr>
          <w:rFonts w:eastAsia="Calibri"/>
          <w:b/>
          <w:bCs/>
          <w:color w:val="000000"/>
          <w:sz w:val="28"/>
          <w:szCs w:val="24"/>
        </w:rPr>
      </w:pPr>
      <w:r w:rsidRPr="000D0266">
        <w:rPr>
          <w:rFonts w:eastAsia="Calibri"/>
          <w:b/>
          <w:bCs/>
          <w:color w:val="000000"/>
          <w:sz w:val="28"/>
          <w:szCs w:val="24"/>
        </w:rPr>
        <w:t>Abstract</w:t>
      </w:r>
    </w:p>
    <w:p w14:paraId="1375309F" w14:textId="7A5D59FD" w:rsidR="000D0266" w:rsidRPr="000D0266" w:rsidRDefault="000D0266" w:rsidP="000D0266">
      <w:pPr>
        <w:jc w:val="both"/>
        <w:rPr>
          <w:rFonts w:eastAsia="Calibri"/>
          <w:bCs/>
          <w:color w:val="000000"/>
          <w:szCs w:val="24"/>
        </w:rPr>
      </w:pPr>
      <w:r w:rsidRPr="000D0266">
        <w:rPr>
          <w:rFonts w:eastAsia="Calibri"/>
          <w:bCs/>
          <w:color w:val="000000"/>
          <w:szCs w:val="24"/>
        </w:rPr>
        <w:t xml:space="preserve">Global radiology partnerships can be leveraged to help address the shortage of radiology access in low and middle-income countries (LMICs). Concurrently, efforts to address inequities in global health initiatives and the power asymmetry between High-Income Countries (HIC) and LMIC partners are ongoing. As the field of radiology continues to expand its global health presence, it is important to ensure the creation of equitable partnerships that avoid perpetuating power imbalances. This paper reviews the critical need to establish and scale-up radiologic care in LMICs, provides historical background on the origins of global health and how these origins might impact current global health practice, briefly </w:t>
      </w:r>
      <w:r w:rsidRPr="000D0266">
        <w:rPr>
          <w:rFonts w:eastAsia="Calibri"/>
          <w:bCs/>
          <w:color w:val="000000"/>
          <w:szCs w:val="24"/>
        </w:rPr>
        <w:t>introduce</w:t>
      </w:r>
      <w:r w:rsidRPr="000D0266">
        <w:rPr>
          <w:rFonts w:eastAsia="Calibri"/>
          <w:bCs/>
          <w:color w:val="000000"/>
          <w:szCs w:val="24"/>
        </w:rPr>
        <w:t xml:space="preserve"> the topic of the Decolonize Global Health (DGH) movement, and </w:t>
      </w:r>
      <w:r w:rsidRPr="000D0266">
        <w:rPr>
          <w:rFonts w:eastAsia="Calibri"/>
          <w:bCs/>
          <w:color w:val="000000"/>
          <w:szCs w:val="24"/>
        </w:rPr>
        <w:t>provide</w:t>
      </w:r>
      <w:r w:rsidRPr="000D0266">
        <w:rPr>
          <w:rFonts w:eastAsia="Calibri"/>
          <w:bCs/>
          <w:color w:val="000000"/>
          <w:szCs w:val="24"/>
        </w:rPr>
        <w:t xml:space="preserve"> examples of best practices to foster equitable and effective global radiology partnerships.</w:t>
      </w:r>
    </w:p>
    <w:p w14:paraId="11D6F1B2" w14:textId="77777777" w:rsidR="000D0266" w:rsidRPr="000D0266" w:rsidRDefault="000D0266" w:rsidP="000D0266">
      <w:pPr>
        <w:jc w:val="both"/>
        <w:rPr>
          <w:rFonts w:eastAsia="Calibri"/>
          <w:bCs/>
          <w:color w:val="000000"/>
          <w:szCs w:val="24"/>
        </w:rPr>
      </w:pPr>
    </w:p>
    <w:p w14:paraId="7E02FA66" w14:textId="77777777" w:rsidR="000D0266" w:rsidRPr="000D0266" w:rsidRDefault="000D0266" w:rsidP="000D0266">
      <w:pPr>
        <w:jc w:val="both"/>
        <w:rPr>
          <w:rFonts w:eastAsia="Calibri"/>
          <w:bCs/>
          <w:color w:val="000000"/>
          <w:szCs w:val="24"/>
          <w:vertAlign w:val="superscript"/>
        </w:rPr>
      </w:pPr>
    </w:p>
    <w:p w14:paraId="534D18DC" w14:textId="77777777" w:rsidR="000D0266" w:rsidRDefault="000D0266" w:rsidP="000D0266">
      <w:pPr>
        <w:jc w:val="both"/>
        <w:rPr>
          <w:rFonts w:eastAsia="Calibri"/>
          <w:bCs/>
          <w:color w:val="000000"/>
          <w:szCs w:val="24"/>
          <w:vertAlign w:val="superscript"/>
        </w:rPr>
      </w:pPr>
    </w:p>
    <w:p w14:paraId="2FCB2B59" w14:textId="77777777" w:rsidR="000D0266" w:rsidRDefault="000D0266" w:rsidP="000D0266">
      <w:pPr>
        <w:jc w:val="both"/>
        <w:rPr>
          <w:rFonts w:eastAsia="Calibri"/>
          <w:bCs/>
          <w:color w:val="000000"/>
          <w:szCs w:val="24"/>
          <w:vertAlign w:val="superscript"/>
        </w:rPr>
      </w:pPr>
    </w:p>
    <w:p w14:paraId="715F3821" w14:textId="77777777" w:rsidR="000D0266" w:rsidRDefault="000D0266" w:rsidP="000D0266">
      <w:pPr>
        <w:jc w:val="both"/>
        <w:rPr>
          <w:rFonts w:eastAsia="Calibri"/>
          <w:bCs/>
          <w:color w:val="000000"/>
          <w:szCs w:val="24"/>
          <w:vertAlign w:val="superscript"/>
        </w:rPr>
      </w:pPr>
    </w:p>
    <w:p w14:paraId="2E309E8F" w14:textId="77777777" w:rsidR="000D0266" w:rsidRDefault="000D0266" w:rsidP="000D0266">
      <w:pPr>
        <w:jc w:val="both"/>
        <w:rPr>
          <w:rFonts w:eastAsia="Calibri"/>
          <w:bCs/>
          <w:color w:val="000000"/>
          <w:szCs w:val="24"/>
          <w:vertAlign w:val="superscript"/>
        </w:rPr>
      </w:pPr>
    </w:p>
    <w:p w14:paraId="14A81657" w14:textId="77777777" w:rsidR="000D0266" w:rsidRDefault="000D0266" w:rsidP="000D0266">
      <w:pPr>
        <w:jc w:val="both"/>
        <w:rPr>
          <w:rFonts w:eastAsia="Calibri"/>
          <w:bCs/>
          <w:color w:val="000000"/>
          <w:szCs w:val="24"/>
          <w:vertAlign w:val="superscript"/>
        </w:rPr>
      </w:pPr>
    </w:p>
    <w:p w14:paraId="7E72B486" w14:textId="77777777" w:rsidR="000D0266" w:rsidRDefault="000D0266" w:rsidP="000D0266">
      <w:pPr>
        <w:jc w:val="both"/>
        <w:rPr>
          <w:rFonts w:eastAsia="Calibri"/>
          <w:bCs/>
          <w:color w:val="000000"/>
          <w:szCs w:val="24"/>
          <w:vertAlign w:val="superscript"/>
        </w:rPr>
      </w:pPr>
    </w:p>
    <w:p w14:paraId="20FED4C8" w14:textId="77777777" w:rsidR="000D0266" w:rsidRDefault="000D0266" w:rsidP="000D0266">
      <w:pPr>
        <w:jc w:val="both"/>
        <w:rPr>
          <w:rFonts w:eastAsia="Calibri"/>
          <w:bCs/>
          <w:color w:val="000000"/>
          <w:szCs w:val="24"/>
          <w:vertAlign w:val="superscript"/>
        </w:rPr>
      </w:pPr>
    </w:p>
    <w:p w14:paraId="0AF13DA2" w14:textId="77777777" w:rsidR="000D0266" w:rsidRPr="000D0266" w:rsidRDefault="000D0266" w:rsidP="000D0266">
      <w:pPr>
        <w:jc w:val="both"/>
        <w:rPr>
          <w:rFonts w:eastAsia="Calibri"/>
          <w:bCs/>
          <w:color w:val="000000"/>
          <w:szCs w:val="24"/>
          <w:vertAlign w:val="superscript"/>
        </w:rPr>
      </w:pPr>
    </w:p>
    <w:p w14:paraId="4FBF88DC" w14:textId="77777777" w:rsidR="000D0266" w:rsidRPr="000D0266" w:rsidRDefault="000D0266" w:rsidP="000D0266">
      <w:pPr>
        <w:jc w:val="both"/>
        <w:rPr>
          <w:b/>
          <w:sz w:val="28"/>
        </w:rPr>
      </w:pPr>
      <w:r w:rsidRPr="000D0266">
        <w:rPr>
          <w:b/>
          <w:sz w:val="28"/>
        </w:rPr>
        <w:lastRenderedPageBreak/>
        <w:t>Computed Tomography Detection of Abdominopelvic Metastasis and Its Association with Hormonal Receptor Status in Breast Cancer Patients at Ocean Road Cancer Institute: a cross-sectional study</w:t>
      </w:r>
    </w:p>
    <w:p w14:paraId="01F25111" w14:textId="77777777" w:rsidR="000D0266" w:rsidRPr="000D0266" w:rsidRDefault="000D0266" w:rsidP="000D0266">
      <w:pPr>
        <w:jc w:val="both"/>
      </w:pPr>
      <w:r w:rsidRPr="000D0266">
        <w:t>Salama Aziz</w:t>
      </w:r>
      <w:r w:rsidRPr="000D0266">
        <w:rPr>
          <w:vertAlign w:val="superscript"/>
        </w:rPr>
        <w:t>1*</w:t>
      </w:r>
      <w:r w:rsidRPr="000D0266">
        <w:t>, Lulu L. Sakafu</w:t>
      </w:r>
      <w:r w:rsidRPr="000D0266">
        <w:rPr>
          <w:vertAlign w:val="superscript"/>
        </w:rPr>
        <w:t>2</w:t>
      </w:r>
      <w:r w:rsidRPr="000D0266">
        <w:t>, Mboka Jacob</w:t>
      </w:r>
      <w:r w:rsidRPr="000D0266">
        <w:rPr>
          <w:vertAlign w:val="superscript"/>
        </w:rPr>
        <w:t>1</w:t>
      </w:r>
      <w:r w:rsidRPr="000D0266">
        <w:t>, Anette Kessy</w:t>
      </w:r>
      <w:r w:rsidRPr="000D0266">
        <w:rPr>
          <w:vertAlign w:val="superscript"/>
        </w:rPr>
        <w:t>2</w:t>
      </w:r>
      <w:r w:rsidRPr="000D0266">
        <w:t xml:space="preserve">, </w:t>
      </w:r>
      <w:proofErr w:type="spellStart"/>
      <w:r w:rsidRPr="000D0266">
        <w:t>Costansia</w:t>
      </w:r>
      <w:proofErr w:type="spellEnd"/>
      <w:r w:rsidRPr="000D0266">
        <w:t xml:space="preserve"> Macha</w:t>
      </w:r>
      <w:r w:rsidRPr="000D0266">
        <w:rPr>
          <w:vertAlign w:val="superscript"/>
        </w:rPr>
        <w:t>2</w:t>
      </w:r>
      <w:r w:rsidRPr="000D0266">
        <w:t>, Lilian Salingwa</w:t>
      </w:r>
      <w:r w:rsidRPr="000D0266">
        <w:rPr>
          <w:vertAlign w:val="superscript"/>
        </w:rPr>
        <w:t>1</w:t>
      </w:r>
      <w:r w:rsidRPr="000D0266">
        <w:t>, Hervé T Mbuyamba</w:t>
      </w:r>
      <w:r w:rsidRPr="000D0266">
        <w:rPr>
          <w:vertAlign w:val="superscript"/>
        </w:rPr>
        <w:t xml:space="preserve">3,4 </w:t>
      </w:r>
    </w:p>
    <w:p w14:paraId="481CB74B" w14:textId="77777777" w:rsidR="000D0266" w:rsidRPr="000D0266" w:rsidRDefault="000D0266" w:rsidP="000D0266">
      <w:pPr>
        <w:jc w:val="both"/>
      </w:pPr>
      <w:r w:rsidRPr="000D0266">
        <w:rPr>
          <w:vertAlign w:val="superscript"/>
        </w:rPr>
        <w:t>1</w:t>
      </w:r>
      <w:r w:rsidRPr="000D0266">
        <w:t xml:space="preserve">Department of Radiology and Imaging, </w:t>
      </w:r>
      <w:proofErr w:type="spellStart"/>
      <w:r w:rsidRPr="000D0266">
        <w:t>Muhimbili</w:t>
      </w:r>
      <w:proofErr w:type="spellEnd"/>
      <w:r w:rsidRPr="000D0266">
        <w:t xml:space="preserve"> University of Health and Allied Sciences, Dar es Salaam, United Republic of Tanzania, </w:t>
      </w:r>
    </w:p>
    <w:p w14:paraId="10B081FB" w14:textId="77777777" w:rsidR="000D0266" w:rsidRPr="000D0266" w:rsidRDefault="000D0266" w:rsidP="000D0266">
      <w:pPr>
        <w:jc w:val="both"/>
      </w:pPr>
      <w:r w:rsidRPr="000D0266">
        <w:rPr>
          <w:vertAlign w:val="superscript"/>
        </w:rPr>
        <w:t>2</w:t>
      </w:r>
      <w:r w:rsidRPr="000D0266">
        <w:t xml:space="preserve">Department of Radiology and Imaging, </w:t>
      </w:r>
      <w:proofErr w:type="spellStart"/>
      <w:r w:rsidRPr="000D0266">
        <w:t>Muhimbili</w:t>
      </w:r>
      <w:proofErr w:type="spellEnd"/>
      <w:r w:rsidRPr="000D0266">
        <w:t xml:space="preserve"> National Hospital -Mloganzila Campus, Dar es Salaam, United Republic of Tanzania, </w:t>
      </w:r>
    </w:p>
    <w:p w14:paraId="5E773A78" w14:textId="77777777" w:rsidR="000D0266" w:rsidRPr="000D0266" w:rsidRDefault="000D0266" w:rsidP="000D0266">
      <w:pPr>
        <w:jc w:val="both"/>
      </w:pPr>
      <w:r w:rsidRPr="000D0266">
        <w:rPr>
          <w:vertAlign w:val="superscript"/>
        </w:rPr>
        <w:t>3</w:t>
      </w:r>
      <w:r w:rsidRPr="000D0266">
        <w:t xml:space="preserve">Department of Surgery, </w:t>
      </w:r>
      <w:proofErr w:type="spellStart"/>
      <w:r w:rsidRPr="000D0266">
        <w:t>Muhimbili</w:t>
      </w:r>
      <w:proofErr w:type="spellEnd"/>
      <w:r w:rsidRPr="000D0266">
        <w:t xml:space="preserve"> University of Health and Allied Sciences, Dar es Salaam, United Republic of Tanzania, </w:t>
      </w:r>
    </w:p>
    <w:p w14:paraId="1F0B07F4" w14:textId="77777777" w:rsidR="000D0266" w:rsidRPr="000D0266" w:rsidRDefault="000D0266" w:rsidP="000D0266">
      <w:pPr>
        <w:jc w:val="both"/>
      </w:pPr>
      <w:r w:rsidRPr="000D0266">
        <w:rPr>
          <w:vertAlign w:val="superscript"/>
        </w:rPr>
        <w:t>4</w:t>
      </w:r>
      <w:r w:rsidRPr="000D0266">
        <w:t xml:space="preserve">Department of Surgery, Université </w:t>
      </w:r>
      <w:proofErr w:type="spellStart"/>
      <w:r w:rsidRPr="000D0266">
        <w:t>Officielle</w:t>
      </w:r>
      <w:proofErr w:type="spellEnd"/>
      <w:r w:rsidRPr="000D0266">
        <w:t xml:space="preserve"> de Mbujimayi, </w:t>
      </w:r>
      <w:proofErr w:type="spellStart"/>
      <w:r w:rsidRPr="000D0266">
        <w:t>Mbujimayi</w:t>
      </w:r>
      <w:proofErr w:type="spellEnd"/>
      <w:r w:rsidRPr="000D0266">
        <w:t>, Democratic Republic of Congo</w:t>
      </w:r>
    </w:p>
    <w:p w14:paraId="053CE6DF" w14:textId="77777777" w:rsidR="000D0266" w:rsidRPr="000D0266" w:rsidRDefault="000D0266" w:rsidP="000D0266">
      <w:pPr>
        <w:jc w:val="both"/>
      </w:pPr>
    </w:p>
    <w:p w14:paraId="0C71BA94" w14:textId="77777777" w:rsidR="000D0266" w:rsidRPr="000D0266" w:rsidRDefault="000D0266" w:rsidP="000D0266">
      <w:pPr>
        <w:jc w:val="both"/>
      </w:pPr>
      <w:r w:rsidRPr="000D0266">
        <w:t xml:space="preserve">Corresponding Authors: </w:t>
      </w:r>
      <w:hyperlink r:id="rId16" w:history="1">
        <w:r w:rsidRPr="000D0266">
          <w:rPr>
            <w:color w:val="0000FF"/>
            <w:u w:val="single"/>
          </w:rPr>
          <w:t>salamaazizi8@gmail.com</w:t>
        </w:r>
      </w:hyperlink>
    </w:p>
    <w:p w14:paraId="020F70C6" w14:textId="77777777" w:rsidR="000D0266" w:rsidRPr="000D0266" w:rsidRDefault="000D0266" w:rsidP="000D0266">
      <w:pPr>
        <w:jc w:val="both"/>
      </w:pPr>
      <w:r w:rsidRPr="000D0266">
        <w:t xml:space="preserve">DOI: </w:t>
      </w:r>
      <w:hyperlink r:id="rId17" w:history="1">
        <w:r w:rsidRPr="000D0266">
          <w:rPr>
            <w:color w:val="0000FF"/>
            <w:u w:val="single"/>
          </w:rPr>
          <w:t>https://dx.doi.org/10.4314/thrb.v26i5.21s</w:t>
        </w:r>
      </w:hyperlink>
    </w:p>
    <w:p w14:paraId="25660777" w14:textId="77777777" w:rsidR="000D0266" w:rsidRPr="000D0266" w:rsidRDefault="000D0266" w:rsidP="000D0266">
      <w:pPr>
        <w:jc w:val="both"/>
      </w:pPr>
    </w:p>
    <w:p w14:paraId="5639282A" w14:textId="77777777" w:rsidR="000D0266" w:rsidRPr="000D0266" w:rsidRDefault="000D0266" w:rsidP="000D0266">
      <w:pPr>
        <w:jc w:val="both"/>
        <w:rPr>
          <w:b/>
        </w:rPr>
      </w:pPr>
      <w:r w:rsidRPr="000D0266">
        <w:rPr>
          <w:b/>
        </w:rPr>
        <w:t xml:space="preserve">Abstract </w:t>
      </w:r>
    </w:p>
    <w:p w14:paraId="69C6AC1F" w14:textId="77777777" w:rsidR="000D0266" w:rsidRPr="000D0266" w:rsidRDefault="000D0266" w:rsidP="000D0266">
      <w:pPr>
        <w:jc w:val="both"/>
        <w:rPr>
          <w:rFonts w:eastAsia="Calibri"/>
          <w:bCs/>
          <w:color w:val="000000"/>
          <w:szCs w:val="24"/>
          <w:vertAlign w:val="superscript"/>
        </w:rPr>
      </w:pPr>
      <w:r w:rsidRPr="000D0266">
        <w:rPr>
          <w:b/>
        </w:rPr>
        <w:t>Background</w:t>
      </w:r>
      <w:r w:rsidRPr="000D0266">
        <w:t xml:space="preserve">: Breast cancer is among the most common cancers in women globally. Most Tanzanian women diagnosed with breast cancer are at an advanced stage. This study aimed to examine the role of CT scan in detecting Abdominopelvic metastasis and its association with hormonal receptor status and staging among women with breast cancer. </w:t>
      </w:r>
      <w:r w:rsidRPr="000D0266">
        <w:rPr>
          <w:b/>
        </w:rPr>
        <w:t>Methodology:</w:t>
      </w:r>
      <w:r w:rsidRPr="000D0266">
        <w:t xml:space="preserve"> A descriptive cross-sectional study was conducted at ORCI from July 2020 to December 2022, enrolling 140 patients with breast cancer. Abdominopelvic CT findings, staging, and hormone status data were recorded. A checklist developed by the Principal Investigator (PI) was used. The PI and a senior Radiologist read CT images. Data analysis was performed using SPSS Version 25. Multiple logistic regressions were used to examine the factors associated with metastases. Statistical significance was set at a p-value of less than 0.05. </w:t>
      </w:r>
      <w:r w:rsidRPr="000D0266">
        <w:rPr>
          <w:b/>
        </w:rPr>
        <w:t>Results</w:t>
      </w:r>
      <w:r w:rsidRPr="000D0266">
        <w:t xml:space="preserve">: Majority (92%) of patients with breast cancer were &gt; 40 years old, with a mean age of 53.71±11 years. Approximately 52.9% had abdominopelvic metastasis, and the liver was the most common (47.9%) site involved. Most of the patients (81%) had advanced-stage 4 and were hormonal receptor-negative. Positive Estrogen Receptor (ER) (AOR: 5.23, 95% CI: 2.32-11.76, p &lt; 0.001, positive Progesterone Receptor (PR) (AOR: 0.64, 95% CI: 0.55-0.74, p &lt; 0.001) and Triple Negative Breast Cancer (TNBC) (AOR: 1.28, 95% CI: 1.15-1.42, p &lt; 0.001) were significantly associated with abdominopelvic metastases. Conclusion: The majority of metastases were </w:t>
      </w:r>
      <w:proofErr w:type="spellStart"/>
      <w:r w:rsidRPr="000D0266">
        <w:t>characterised</w:t>
      </w:r>
      <w:proofErr w:type="spellEnd"/>
      <w:r w:rsidRPr="000D0266">
        <w:t xml:space="preserve"> by hypodense lesions and a non-enhancing pattern. The most common location of metastasis is the liver. A predominance of advanced-stage </w:t>
      </w:r>
      <w:proofErr w:type="spellStart"/>
      <w:r w:rsidRPr="000D0266">
        <w:t>tumours</w:t>
      </w:r>
      <w:proofErr w:type="spellEnd"/>
      <w:r w:rsidRPr="000D0266">
        <w:t xml:space="preserve"> and a significant proportion of cases with triple-negative hormonal receptor statuses suggest a high disease burden and challenges in treatment selection. The findings underscore the importance of comprehensive tumor profiling in guiding treatment decisions. </w:t>
      </w:r>
      <w:r w:rsidRPr="000D0266">
        <w:rPr>
          <w:b/>
        </w:rPr>
        <w:t>Keywords:</w:t>
      </w:r>
      <w:r w:rsidRPr="000D0266">
        <w:t xml:space="preserve"> breast cancer, metastasis, hormonal receptor status, CT-Scan</w:t>
      </w:r>
    </w:p>
    <w:p w14:paraId="046F8924" w14:textId="77777777" w:rsidR="00EE1BD3" w:rsidRDefault="00EE1BD3" w:rsidP="007B4B7C">
      <w:pPr>
        <w:jc w:val="both"/>
        <w:rPr>
          <w:rFonts w:eastAsiaTheme="minorHAnsi"/>
          <w:bCs/>
          <w:color w:val="000000"/>
          <w:szCs w:val="24"/>
        </w:rPr>
      </w:pPr>
    </w:p>
    <w:p w14:paraId="282DC297" w14:textId="77777777" w:rsidR="00EE1BD3" w:rsidRDefault="00EE1BD3" w:rsidP="007B4B7C">
      <w:pPr>
        <w:jc w:val="both"/>
        <w:rPr>
          <w:rFonts w:eastAsiaTheme="minorHAnsi"/>
          <w:bCs/>
          <w:color w:val="000000"/>
          <w:szCs w:val="24"/>
        </w:rPr>
      </w:pPr>
    </w:p>
    <w:p w14:paraId="4C682CAE" w14:textId="77777777" w:rsidR="00EE1BD3" w:rsidRDefault="00EE1BD3" w:rsidP="007B4B7C">
      <w:pPr>
        <w:jc w:val="both"/>
        <w:rPr>
          <w:rFonts w:eastAsiaTheme="minorHAnsi"/>
          <w:bCs/>
          <w:color w:val="000000"/>
          <w:szCs w:val="24"/>
        </w:rPr>
      </w:pPr>
    </w:p>
    <w:p w14:paraId="7D05C298" w14:textId="77777777" w:rsidR="00EE1BD3" w:rsidRDefault="00EE1BD3" w:rsidP="007B4B7C">
      <w:pPr>
        <w:jc w:val="both"/>
        <w:rPr>
          <w:rFonts w:eastAsiaTheme="minorHAnsi"/>
          <w:bCs/>
          <w:color w:val="000000"/>
          <w:szCs w:val="24"/>
        </w:rPr>
      </w:pPr>
    </w:p>
    <w:p w14:paraId="6D06EDC2" w14:textId="77777777" w:rsidR="00EE1BD3" w:rsidRDefault="00EE1BD3" w:rsidP="007B4B7C">
      <w:pPr>
        <w:jc w:val="both"/>
        <w:rPr>
          <w:rFonts w:eastAsiaTheme="minorHAnsi"/>
          <w:bCs/>
          <w:color w:val="000000"/>
          <w:szCs w:val="24"/>
        </w:rPr>
      </w:pPr>
    </w:p>
    <w:p w14:paraId="3E5A13DD" w14:textId="77777777" w:rsidR="00EE1BD3" w:rsidRDefault="00EE1BD3" w:rsidP="007B4B7C">
      <w:pPr>
        <w:jc w:val="both"/>
        <w:rPr>
          <w:rFonts w:eastAsiaTheme="minorHAnsi"/>
          <w:bCs/>
          <w:color w:val="000000"/>
          <w:szCs w:val="24"/>
        </w:rPr>
      </w:pPr>
    </w:p>
    <w:p w14:paraId="6E6BCAC5" w14:textId="77777777" w:rsidR="00EE1BD3" w:rsidRPr="00ED0A37" w:rsidRDefault="00EE1BD3" w:rsidP="007B4B7C">
      <w:pPr>
        <w:jc w:val="both"/>
        <w:rPr>
          <w:rFonts w:eastAsiaTheme="minorHAnsi"/>
          <w:bCs/>
          <w:color w:val="000000"/>
          <w:szCs w:val="24"/>
        </w:rPr>
      </w:pPr>
    </w:p>
    <w:sectPr w:rsidR="00EE1BD3" w:rsidRPr="00ED0A37" w:rsidSect="00442A71">
      <w:footerReference w:type="default" r:id="rId18"/>
      <w:pgSz w:w="11909" w:h="16834" w:code="9"/>
      <w:pgMar w:top="851" w:right="1797" w:bottom="1276" w:left="1797" w:header="85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AC88C" w14:textId="77777777" w:rsidR="00046D2F" w:rsidRDefault="00046D2F">
      <w:r>
        <w:separator/>
      </w:r>
    </w:p>
  </w:endnote>
  <w:endnote w:type="continuationSeparator" w:id="0">
    <w:p w14:paraId="5AC9B5C2" w14:textId="77777777" w:rsidR="00046D2F" w:rsidRDefault="0004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2EB6" w14:textId="77777777" w:rsidR="008B1657" w:rsidRDefault="00A31757" w:rsidP="004F2DBB">
    <w:pPr>
      <w:pStyle w:val="Footer"/>
      <w:tabs>
        <w:tab w:val="clear" w:pos="4320"/>
        <w:tab w:val="clear" w:pos="8640"/>
      </w:tabs>
      <w:jc w:val="center"/>
      <w:rPr>
        <w:rFonts w:ascii="Arial" w:hAnsi="Arial" w:cs="Arial"/>
        <w:sz w:val="18"/>
        <w:szCs w:val="18"/>
      </w:rPr>
    </w:pPr>
    <w:r>
      <w:rPr>
        <w:rFonts w:ascii="Arial" w:hAnsi="Arial" w:cs="Arial"/>
        <w:sz w:val="18"/>
        <w:szCs w:val="18"/>
      </w:rPr>
      <w:t xml:space="preserve"> ___________________________________________________________________________________</w:t>
    </w:r>
  </w:p>
  <w:p w14:paraId="74A8D8A7" w14:textId="416F09E2" w:rsidR="008B1657" w:rsidRDefault="00A31757" w:rsidP="004F2DBB">
    <w:pPr>
      <w:pStyle w:val="Footer"/>
      <w:tabs>
        <w:tab w:val="clear" w:pos="4320"/>
        <w:tab w:val="clear" w:pos="8640"/>
      </w:tabs>
      <w:jc w:val="center"/>
      <w:rPr>
        <w:rFonts w:ascii="Arial" w:hAnsi="Arial" w:cs="Arial"/>
        <w:sz w:val="18"/>
        <w:szCs w:val="18"/>
      </w:rPr>
    </w:pPr>
    <w:r>
      <w:rPr>
        <w:rFonts w:ascii="Arial" w:hAnsi="Arial" w:cs="Arial"/>
        <w:sz w:val="18"/>
        <w:szCs w:val="18"/>
      </w:rPr>
      <w:t xml:space="preserve">Mloganzila, Kibamba – </w:t>
    </w:r>
    <w:r w:rsidR="00911D15">
      <w:rPr>
        <w:rFonts w:ascii="Arial" w:hAnsi="Arial" w:cs="Arial"/>
        <w:sz w:val="18"/>
        <w:szCs w:val="18"/>
      </w:rPr>
      <w:t>Ubungo, P.O.</w:t>
    </w:r>
    <w:r>
      <w:rPr>
        <w:rFonts w:ascii="Arial" w:hAnsi="Arial" w:cs="Arial"/>
        <w:sz w:val="18"/>
        <w:szCs w:val="18"/>
      </w:rPr>
      <w:t xml:space="preserve"> BOX</w:t>
    </w:r>
    <w:r w:rsidRPr="00D51D38">
      <w:rPr>
        <w:rFonts w:ascii="Arial" w:hAnsi="Arial" w:cs="Arial"/>
        <w:sz w:val="18"/>
        <w:szCs w:val="18"/>
      </w:rPr>
      <w:t xml:space="preserve"> 65000, Dar es Salaam, Tanzania. </w:t>
    </w:r>
  </w:p>
  <w:p w14:paraId="0C8C6506" w14:textId="7999CD11" w:rsidR="008B1657" w:rsidRDefault="00A31757" w:rsidP="004F2DBB">
    <w:pPr>
      <w:pStyle w:val="Footer"/>
      <w:tabs>
        <w:tab w:val="clear" w:pos="4320"/>
        <w:tab w:val="clear" w:pos="8640"/>
      </w:tabs>
      <w:jc w:val="center"/>
      <w:rPr>
        <w:rFonts w:ascii="Arial" w:hAnsi="Arial" w:cs="Arial"/>
        <w:sz w:val="18"/>
        <w:szCs w:val="18"/>
      </w:rPr>
    </w:pPr>
    <w:r>
      <w:rPr>
        <w:rFonts w:ascii="Arial" w:hAnsi="Arial" w:cs="Arial"/>
        <w:sz w:val="18"/>
        <w:szCs w:val="18"/>
      </w:rPr>
      <w:t>Telephone: +255-22-</w:t>
    </w:r>
    <w:r w:rsidR="00911D15">
      <w:rPr>
        <w:rFonts w:ascii="Arial" w:hAnsi="Arial" w:cs="Arial"/>
        <w:sz w:val="18"/>
        <w:szCs w:val="18"/>
      </w:rPr>
      <w:t>222215715, Telephone</w:t>
    </w:r>
    <w:r w:rsidRPr="00D51D38">
      <w:rPr>
        <w:rFonts w:ascii="Arial" w:hAnsi="Arial" w:cs="Arial"/>
        <w:sz w:val="18"/>
        <w:szCs w:val="18"/>
      </w:rPr>
      <w:t>: +25</w:t>
    </w:r>
    <w:r>
      <w:rPr>
        <w:rFonts w:ascii="Arial" w:hAnsi="Arial" w:cs="Arial"/>
        <w:sz w:val="18"/>
        <w:szCs w:val="18"/>
      </w:rPr>
      <w:t xml:space="preserve">5-22-2215701, </w:t>
    </w:r>
  </w:p>
  <w:p w14:paraId="010C4F74" w14:textId="77777777" w:rsidR="008B1657" w:rsidRPr="00F81581" w:rsidRDefault="00A31757" w:rsidP="00F81581">
    <w:pPr>
      <w:pStyle w:val="Footer"/>
      <w:tabs>
        <w:tab w:val="clear" w:pos="4320"/>
        <w:tab w:val="clear" w:pos="8640"/>
      </w:tabs>
      <w:jc w:val="center"/>
      <w:rPr>
        <w:rFonts w:ascii="Arial" w:hAnsi="Arial" w:cs="Arial"/>
        <w:sz w:val="18"/>
        <w:szCs w:val="18"/>
      </w:rPr>
    </w:pPr>
    <w:r>
      <w:rPr>
        <w:rFonts w:ascii="Arial" w:hAnsi="Arial" w:cs="Arial"/>
        <w:sz w:val="18"/>
        <w:szCs w:val="18"/>
      </w:rPr>
      <w:t>Email</w:t>
    </w:r>
    <w:r w:rsidRPr="00D51D38">
      <w:rPr>
        <w:rFonts w:ascii="Arial" w:hAnsi="Arial" w:cs="Arial"/>
        <w:sz w:val="18"/>
        <w:szCs w:val="18"/>
      </w:rPr>
      <w:t xml:space="preserve">: </w:t>
    </w:r>
    <w:hyperlink r:id="rId1" w:history="1">
      <w:r w:rsidRPr="00AC0841">
        <w:rPr>
          <w:rStyle w:val="Hyperlink"/>
          <w:rFonts w:ascii="Arial" w:hAnsi="Arial" w:cs="Arial"/>
          <w:sz w:val="18"/>
          <w:szCs w:val="18"/>
        </w:rPr>
        <w:t>info@Mloganzila.or.tz</w:t>
      </w:r>
    </w:hyperlink>
    <w:r>
      <w:rPr>
        <w:rFonts w:ascii="Arial" w:hAnsi="Arial" w:cs="Arial"/>
        <w:sz w:val="18"/>
        <w:szCs w:val="18"/>
      </w:rPr>
      <w:t>, Website</w:t>
    </w:r>
    <w:r w:rsidRPr="00D51D38">
      <w:rPr>
        <w:rFonts w:ascii="Arial" w:hAnsi="Arial" w:cs="Arial"/>
        <w:sz w:val="18"/>
        <w:szCs w:val="18"/>
      </w:rPr>
      <w:t xml:space="preserve">: </w:t>
    </w:r>
    <w:hyperlink r:id="rId2" w:history="1">
      <w:r w:rsidRPr="008112E4">
        <w:rPr>
          <w:rStyle w:val="Hyperlink"/>
          <w:rFonts w:ascii="Arial" w:hAnsi="Arial" w:cs="Arial"/>
          <w:sz w:val="18"/>
          <w:szCs w:val="18"/>
        </w:rPr>
        <w:t>www.mnh.or.tz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38B0" w14:textId="77777777" w:rsidR="00046D2F" w:rsidRDefault="00046D2F">
      <w:r>
        <w:separator/>
      </w:r>
    </w:p>
  </w:footnote>
  <w:footnote w:type="continuationSeparator" w:id="0">
    <w:p w14:paraId="4D7A5640" w14:textId="77777777" w:rsidR="00046D2F" w:rsidRDefault="00046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46E44"/>
    <w:multiLevelType w:val="hybridMultilevel"/>
    <w:tmpl w:val="1F3E0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5533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CE5"/>
    <w:rsid w:val="00000933"/>
    <w:rsid w:val="000260B1"/>
    <w:rsid w:val="00026FD6"/>
    <w:rsid w:val="00046D2F"/>
    <w:rsid w:val="000557E5"/>
    <w:rsid w:val="00076B69"/>
    <w:rsid w:val="000D0266"/>
    <w:rsid w:val="000D0DE8"/>
    <w:rsid w:val="000E7589"/>
    <w:rsid w:val="00126173"/>
    <w:rsid w:val="001B53FD"/>
    <w:rsid w:val="001D7625"/>
    <w:rsid w:val="001E18F8"/>
    <w:rsid w:val="00224BE5"/>
    <w:rsid w:val="00245B05"/>
    <w:rsid w:val="00291C55"/>
    <w:rsid w:val="002A5F34"/>
    <w:rsid w:val="002E2730"/>
    <w:rsid w:val="0031490E"/>
    <w:rsid w:val="00324EF4"/>
    <w:rsid w:val="003260DA"/>
    <w:rsid w:val="003856FC"/>
    <w:rsid w:val="0045085D"/>
    <w:rsid w:val="004624DF"/>
    <w:rsid w:val="00463396"/>
    <w:rsid w:val="004A1BBD"/>
    <w:rsid w:val="004B282D"/>
    <w:rsid w:val="004F2527"/>
    <w:rsid w:val="005003BB"/>
    <w:rsid w:val="005100ED"/>
    <w:rsid w:val="005B7A96"/>
    <w:rsid w:val="00601238"/>
    <w:rsid w:val="00641F8F"/>
    <w:rsid w:val="00646D69"/>
    <w:rsid w:val="00671ABE"/>
    <w:rsid w:val="00687245"/>
    <w:rsid w:val="006D2ED0"/>
    <w:rsid w:val="006D4E9E"/>
    <w:rsid w:val="006E1565"/>
    <w:rsid w:val="00704152"/>
    <w:rsid w:val="00705621"/>
    <w:rsid w:val="007436B4"/>
    <w:rsid w:val="00761875"/>
    <w:rsid w:val="00777BF1"/>
    <w:rsid w:val="007B220B"/>
    <w:rsid w:val="007B4B7C"/>
    <w:rsid w:val="007C7C9A"/>
    <w:rsid w:val="007F35F8"/>
    <w:rsid w:val="007F6FA9"/>
    <w:rsid w:val="00814890"/>
    <w:rsid w:val="00831A47"/>
    <w:rsid w:val="00837569"/>
    <w:rsid w:val="008421D8"/>
    <w:rsid w:val="00846C73"/>
    <w:rsid w:val="0089116E"/>
    <w:rsid w:val="00892863"/>
    <w:rsid w:val="008B1657"/>
    <w:rsid w:val="008C1F2F"/>
    <w:rsid w:val="008C6ED4"/>
    <w:rsid w:val="00900261"/>
    <w:rsid w:val="00911D15"/>
    <w:rsid w:val="00925E69"/>
    <w:rsid w:val="00936DE4"/>
    <w:rsid w:val="00955824"/>
    <w:rsid w:val="0097431A"/>
    <w:rsid w:val="009750DE"/>
    <w:rsid w:val="0098753F"/>
    <w:rsid w:val="009B511B"/>
    <w:rsid w:val="009C5FAD"/>
    <w:rsid w:val="009C6B0B"/>
    <w:rsid w:val="009E370A"/>
    <w:rsid w:val="009E3A75"/>
    <w:rsid w:val="00A31757"/>
    <w:rsid w:val="00A447F5"/>
    <w:rsid w:val="00A67D5B"/>
    <w:rsid w:val="00A836AA"/>
    <w:rsid w:val="00AD36A6"/>
    <w:rsid w:val="00AE10D8"/>
    <w:rsid w:val="00B42CCB"/>
    <w:rsid w:val="00B73B98"/>
    <w:rsid w:val="00B84FEE"/>
    <w:rsid w:val="00BA4CE5"/>
    <w:rsid w:val="00BD554A"/>
    <w:rsid w:val="00BE5564"/>
    <w:rsid w:val="00BF162C"/>
    <w:rsid w:val="00C449C3"/>
    <w:rsid w:val="00C85F54"/>
    <w:rsid w:val="00CA0185"/>
    <w:rsid w:val="00CB3F9C"/>
    <w:rsid w:val="00CF33D9"/>
    <w:rsid w:val="00D241A6"/>
    <w:rsid w:val="00D42328"/>
    <w:rsid w:val="00D6397E"/>
    <w:rsid w:val="00D904B3"/>
    <w:rsid w:val="00DF1358"/>
    <w:rsid w:val="00E01467"/>
    <w:rsid w:val="00E53EC7"/>
    <w:rsid w:val="00E8698B"/>
    <w:rsid w:val="00E9734C"/>
    <w:rsid w:val="00ED0A37"/>
    <w:rsid w:val="00EE1BD3"/>
    <w:rsid w:val="00F058D7"/>
    <w:rsid w:val="00F258DE"/>
    <w:rsid w:val="00F25C9B"/>
    <w:rsid w:val="00F949C1"/>
    <w:rsid w:val="00FD3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ACF00"/>
  <w15:docId w15:val="{55BBEB9C-3650-4C5E-B372-2BA1B6B76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CE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A4CE5"/>
    <w:pPr>
      <w:widowControl w:val="0"/>
      <w:tabs>
        <w:tab w:val="center" w:pos="4320"/>
        <w:tab w:val="right" w:pos="8640"/>
      </w:tabs>
      <w:overflowPunct w:val="0"/>
      <w:autoSpaceDE w:val="0"/>
      <w:autoSpaceDN w:val="0"/>
      <w:adjustRightInd w:val="0"/>
      <w:textAlignment w:val="baseline"/>
    </w:pPr>
    <w:rPr>
      <w:sz w:val="20"/>
    </w:rPr>
  </w:style>
  <w:style w:type="character" w:customStyle="1" w:styleId="FooterChar">
    <w:name w:val="Footer Char"/>
    <w:basedOn w:val="DefaultParagraphFont"/>
    <w:link w:val="Footer"/>
    <w:uiPriority w:val="99"/>
    <w:rsid w:val="00BA4CE5"/>
    <w:rPr>
      <w:rFonts w:ascii="Times New Roman" w:eastAsia="Times New Roman" w:hAnsi="Times New Roman" w:cs="Times New Roman"/>
      <w:sz w:val="20"/>
      <w:szCs w:val="20"/>
    </w:rPr>
  </w:style>
  <w:style w:type="paragraph" w:styleId="Header">
    <w:name w:val="header"/>
    <w:basedOn w:val="Normal"/>
    <w:link w:val="HeaderChar"/>
    <w:uiPriority w:val="99"/>
    <w:rsid w:val="00BA4CE5"/>
    <w:pPr>
      <w:tabs>
        <w:tab w:val="center" w:pos="4320"/>
        <w:tab w:val="right" w:pos="8640"/>
      </w:tabs>
    </w:pPr>
  </w:style>
  <w:style w:type="character" w:customStyle="1" w:styleId="HeaderChar">
    <w:name w:val="Header Char"/>
    <w:basedOn w:val="DefaultParagraphFont"/>
    <w:link w:val="Header"/>
    <w:uiPriority w:val="99"/>
    <w:rsid w:val="00BA4CE5"/>
    <w:rPr>
      <w:rFonts w:ascii="Times New Roman" w:eastAsia="Times New Roman" w:hAnsi="Times New Roman" w:cs="Times New Roman"/>
      <w:sz w:val="24"/>
      <w:szCs w:val="20"/>
    </w:rPr>
  </w:style>
  <w:style w:type="character" w:styleId="Hyperlink">
    <w:name w:val="Hyperlink"/>
    <w:rsid w:val="00BA4CE5"/>
    <w:rPr>
      <w:color w:val="0000FF"/>
      <w:u w:val="single"/>
    </w:rPr>
  </w:style>
  <w:style w:type="paragraph" w:styleId="ListParagraph">
    <w:name w:val="List Paragraph"/>
    <w:basedOn w:val="Normal"/>
    <w:uiPriority w:val="34"/>
    <w:qFormat/>
    <w:rsid w:val="00BA4CE5"/>
    <w:pPr>
      <w:ind w:left="720"/>
      <w:contextualSpacing/>
    </w:pPr>
  </w:style>
  <w:style w:type="character" w:customStyle="1" w:styleId="UnresolvedMention1">
    <w:name w:val="Unresolved Mention1"/>
    <w:basedOn w:val="DefaultParagraphFont"/>
    <w:uiPriority w:val="99"/>
    <w:semiHidden/>
    <w:unhideWhenUsed/>
    <w:rsid w:val="001B53FD"/>
    <w:rPr>
      <w:color w:val="605E5C"/>
      <w:shd w:val="clear" w:color="auto" w:fill="E1DFDD"/>
    </w:rPr>
  </w:style>
  <w:style w:type="paragraph" w:customStyle="1" w:styleId="Default">
    <w:name w:val="Default"/>
    <w:rsid w:val="000E7589"/>
    <w:pPr>
      <w:autoSpaceDE w:val="0"/>
      <w:autoSpaceDN w:val="0"/>
      <w:adjustRightInd w:val="0"/>
      <w:spacing w:after="0" w:line="240" w:lineRule="auto"/>
    </w:pPr>
    <w:rPr>
      <w:rFonts w:ascii="Minion Pro" w:hAnsi="Minion Pro" w:cs="Minion Pro"/>
      <w:color w:val="000000"/>
      <w:sz w:val="24"/>
      <w:szCs w:val="24"/>
    </w:rPr>
  </w:style>
  <w:style w:type="character" w:customStyle="1" w:styleId="A5">
    <w:name w:val="A5"/>
    <w:uiPriority w:val="99"/>
    <w:rsid w:val="000E7589"/>
    <w:rPr>
      <w:rFonts w:cs="Minion Pro"/>
      <w:color w:val="000000"/>
      <w:sz w:val="11"/>
      <w:szCs w:val="11"/>
    </w:rPr>
  </w:style>
  <w:style w:type="character" w:customStyle="1" w:styleId="A6">
    <w:name w:val="A6"/>
    <w:uiPriority w:val="99"/>
    <w:rsid w:val="000E7589"/>
    <w:rPr>
      <w:rFonts w:cs="Minion Pro"/>
      <w:color w:val="000000"/>
      <w:sz w:val="9"/>
      <w:szCs w:val="9"/>
    </w:rPr>
  </w:style>
  <w:style w:type="character" w:styleId="CommentReference">
    <w:name w:val="annotation reference"/>
    <w:basedOn w:val="DefaultParagraphFont"/>
    <w:uiPriority w:val="99"/>
    <w:semiHidden/>
    <w:unhideWhenUsed/>
    <w:rsid w:val="00E01467"/>
    <w:rPr>
      <w:sz w:val="16"/>
      <w:szCs w:val="16"/>
    </w:rPr>
  </w:style>
  <w:style w:type="paragraph" w:styleId="CommentText">
    <w:name w:val="annotation text"/>
    <w:basedOn w:val="Normal"/>
    <w:link w:val="CommentTextChar"/>
    <w:uiPriority w:val="99"/>
    <w:semiHidden/>
    <w:unhideWhenUsed/>
    <w:rsid w:val="00E01467"/>
    <w:rPr>
      <w:sz w:val="20"/>
    </w:rPr>
  </w:style>
  <w:style w:type="character" w:customStyle="1" w:styleId="CommentTextChar">
    <w:name w:val="Comment Text Char"/>
    <w:basedOn w:val="DefaultParagraphFont"/>
    <w:link w:val="CommentText"/>
    <w:uiPriority w:val="99"/>
    <w:semiHidden/>
    <w:rsid w:val="00E014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1467"/>
    <w:rPr>
      <w:b/>
      <w:bCs/>
    </w:rPr>
  </w:style>
  <w:style w:type="character" w:customStyle="1" w:styleId="CommentSubjectChar">
    <w:name w:val="Comment Subject Char"/>
    <w:basedOn w:val="CommentTextChar"/>
    <w:link w:val="CommentSubject"/>
    <w:uiPriority w:val="99"/>
    <w:semiHidden/>
    <w:rsid w:val="00E0146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D36A6"/>
    <w:rPr>
      <w:rFonts w:ascii="Tahoma" w:hAnsi="Tahoma" w:cs="Tahoma"/>
      <w:sz w:val="16"/>
      <w:szCs w:val="16"/>
    </w:rPr>
  </w:style>
  <w:style w:type="character" w:customStyle="1" w:styleId="BalloonTextChar">
    <w:name w:val="Balloon Text Char"/>
    <w:basedOn w:val="DefaultParagraphFont"/>
    <w:link w:val="BalloonText"/>
    <w:uiPriority w:val="99"/>
    <w:semiHidden/>
    <w:rsid w:val="00AD36A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616758">
      <w:bodyDiv w:val="1"/>
      <w:marLeft w:val="0"/>
      <w:marRight w:val="0"/>
      <w:marTop w:val="0"/>
      <w:marBottom w:val="0"/>
      <w:divBdr>
        <w:top w:val="none" w:sz="0" w:space="0" w:color="auto"/>
        <w:left w:val="none" w:sz="0" w:space="0" w:color="auto"/>
        <w:bottom w:val="none" w:sz="0" w:space="0" w:color="auto"/>
        <w:right w:val="none" w:sz="0" w:space="0" w:color="auto"/>
      </w:divBdr>
    </w:div>
    <w:div w:id="885600843">
      <w:bodyDiv w:val="1"/>
      <w:marLeft w:val="0"/>
      <w:marRight w:val="0"/>
      <w:marTop w:val="0"/>
      <w:marBottom w:val="0"/>
      <w:divBdr>
        <w:top w:val="none" w:sz="0" w:space="0" w:color="auto"/>
        <w:left w:val="none" w:sz="0" w:space="0" w:color="auto"/>
        <w:bottom w:val="none" w:sz="0" w:space="0" w:color="auto"/>
        <w:right w:val="none" w:sz="0" w:space="0" w:color="auto"/>
      </w:divBdr>
      <w:divsChild>
        <w:div w:id="1574122207">
          <w:marLeft w:val="0"/>
          <w:marRight w:val="0"/>
          <w:marTop w:val="0"/>
          <w:marBottom w:val="0"/>
          <w:divBdr>
            <w:top w:val="none" w:sz="0" w:space="0" w:color="auto"/>
            <w:left w:val="none" w:sz="0" w:space="0" w:color="auto"/>
            <w:bottom w:val="none" w:sz="0" w:space="0" w:color="auto"/>
            <w:right w:val="none" w:sz="0" w:space="0" w:color="auto"/>
          </w:divBdr>
          <w:divsChild>
            <w:div w:id="633366019">
              <w:marLeft w:val="0"/>
              <w:marRight w:val="0"/>
              <w:marTop w:val="0"/>
              <w:marBottom w:val="0"/>
              <w:divBdr>
                <w:top w:val="none" w:sz="0" w:space="0" w:color="auto"/>
                <w:left w:val="none" w:sz="0" w:space="0" w:color="auto"/>
                <w:bottom w:val="none" w:sz="0" w:space="0" w:color="auto"/>
                <w:right w:val="none" w:sz="0" w:space="0" w:color="auto"/>
              </w:divBdr>
            </w:div>
            <w:div w:id="640771755">
              <w:marLeft w:val="0"/>
              <w:marRight w:val="0"/>
              <w:marTop w:val="0"/>
              <w:marBottom w:val="0"/>
              <w:divBdr>
                <w:top w:val="none" w:sz="0" w:space="0" w:color="auto"/>
                <w:left w:val="none" w:sz="0" w:space="0" w:color="auto"/>
                <w:bottom w:val="none" w:sz="0" w:space="0" w:color="auto"/>
                <w:right w:val="none" w:sz="0" w:space="0" w:color="auto"/>
              </w:divBdr>
            </w:div>
            <w:div w:id="1340541848">
              <w:marLeft w:val="0"/>
              <w:marRight w:val="0"/>
              <w:marTop w:val="0"/>
              <w:marBottom w:val="0"/>
              <w:divBdr>
                <w:top w:val="none" w:sz="0" w:space="0" w:color="auto"/>
                <w:left w:val="none" w:sz="0" w:space="0" w:color="auto"/>
                <w:bottom w:val="none" w:sz="0" w:space="0" w:color="auto"/>
                <w:right w:val="none" w:sz="0" w:space="0" w:color="auto"/>
              </w:divBdr>
            </w:div>
            <w:div w:id="1181505152">
              <w:marLeft w:val="0"/>
              <w:marRight w:val="0"/>
              <w:marTop w:val="0"/>
              <w:marBottom w:val="0"/>
              <w:divBdr>
                <w:top w:val="none" w:sz="0" w:space="0" w:color="auto"/>
                <w:left w:val="none" w:sz="0" w:space="0" w:color="auto"/>
                <w:bottom w:val="none" w:sz="0" w:space="0" w:color="auto"/>
                <w:right w:val="none" w:sz="0" w:space="0" w:color="auto"/>
              </w:divBdr>
            </w:div>
            <w:div w:id="2125615933">
              <w:marLeft w:val="0"/>
              <w:marRight w:val="0"/>
              <w:marTop w:val="0"/>
              <w:marBottom w:val="0"/>
              <w:divBdr>
                <w:top w:val="none" w:sz="0" w:space="0" w:color="auto"/>
                <w:left w:val="none" w:sz="0" w:space="0" w:color="auto"/>
                <w:bottom w:val="none" w:sz="0" w:space="0" w:color="auto"/>
                <w:right w:val="none" w:sz="0" w:space="0" w:color="auto"/>
              </w:divBdr>
            </w:div>
            <w:div w:id="159658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4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7284/eajhs.8.2.351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9-0005-9666-7719" TargetMode="External"/><Relationship Id="rId17" Type="http://schemas.openxmlformats.org/officeDocument/2006/relationships/hyperlink" Target="https://dx.doi.org/10.4314/thrb.v26i5.21s" TargetMode="External"/><Relationship Id="rId2" Type="http://schemas.openxmlformats.org/officeDocument/2006/relationships/numbering" Target="numbering.xml"/><Relationship Id="rId16" Type="http://schemas.openxmlformats.org/officeDocument/2006/relationships/hyperlink" Target="mailto:salamaazizi8@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1/journal.pone.0331319" TargetMode="External"/><Relationship Id="rId5" Type="http://schemas.openxmlformats.org/officeDocument/2006/relationships/webSettings" Target="webSettings.xml"/><Relationship Id="rId15" Type="http://schemas.openxmlformats.org/officeDocument/2006/relationships/hyperlink" Target="https://doi.org/10.1016/j.clinimag.2025.110559" TargetMode="External"/><Relationship Id="rId10" Type="http://schemas.openxmlformats.org/officeDocument/2006/relationships/hyperlink" Target="mailto:johoangeljoho@yahoo.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mie.Lee2@ucsf.ed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nh.or.tz" TargetMode="External"/><Relationship Id="rId1" Type="http://schemas.openxmlformats.org/officeDocument/2006/relationships/hyperlink" Target="mailto:info@Mloganzila.or.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CB1BF-71F3-40F3-A8B0-7CA6405F1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3185</Words>
  <Characters>18158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Arafa Mkumbo</cp:lastModifiedBy>
  <cp:revision>11</cp:revision>
  <dcterms:created xsi:type="dcterms:W3CDTF">2025-10-17T14:28:00Z</dcterms:created>
  <dcterms:modified xsi:type="dcterms:W3CDTF">2025-10-24T14:43:00Z</dcterms:modified>
</cp:coreProperties>
</file>